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E9E1" w14:textId="77777777" w:rsidR="004E7858" w:rsidRDefault="003D5332" w:rsidP="004E7858">
      <w:pPr>
        <w:pStyle w:val="Normal1"/>
        <w:spacing w:line="240" w:lineRule="auto"/>
        <w:contextualSpacing/>
        <w:jc w:val="center"/>
        <w:rPr>
          <w:rFonts w:asciiTheme="minorHAnsi" w:eastAsia="Times New Roman" w:hAnsiTheme="minorHAnsi" w:cs="Times New Roman"/>
          <w:b/>
          <w:sz w:val="28"/>
          <w:szCs w:val="28"/>
        </w:rPr>
      </w:pPr>
      <w:r w:rsidRPr="004E7858">
        <w:rPr>
          <w:rFonts w:asciiTheme="minorHAnsi" w:eastAsia="Times New Roman" w:hAnsiTheme="minorHAnsi" w:cs="Times New Roman"/>
          <w:b/>
          <w:color w:val="00B050"/>
          <w:sz w:val="28"/>
          <w:szCs w:val="28"/>
        </w:rPr>
        <w:t>SUPPORT</w:t>
      </w:r>
      <w:r w:rsidRPr="003D5332">
        <w:rPr>
          <w:rFonts w:asciiTheme="minorHAnsi" w:eastAsia="Times New Roman" w:hAnsiTheme="minorHAnsi" w:cs="Times New Roman"/>
          <w:b/>
          <w:sz w:val="28"/>
          <w:szCs w:val="28"/>
        </w:rPr>
        <w:t xml:space="preserve"> </w:t>
      </w:r>
      <w:r w:rsidR="00D4518D">
        <w:rPr>
          <w:rFonts w:asciiTheme="minorHAnsi" w:eastAsia="Times New Roman" w:hAnsiTheme="minorHAnsi" w:cs="Times New Roman"/>
          <w:b/>
          <w:sz w:val="28"/>
          <w:szCs w:val="28"/>
        </w:rPr>
        <w:t xml:space="preserve">Balance Billing </w:t>
      </w:r>
    </w:p>
    <w:p w14:paraId="12A93E13" w14:textId="77777777" w:rsidR="007430D8" w:rsidRDefault="007430D8" w:rsidP="004E7858">
      <w:pPr>
        <w:pStyle w:val="Normal1"/>
        <w:spacing w:line="240" w:lineRule="auto"/>
        <w:contextualSpacing/>
        <w:jc w:val="center"/>
        <w:rPr>
          <w:rFonts w:asciiTheme="minorHAnsi" w:eastAsia="Times New Roman" w:hAnsiTheme="minorHAnsi" w:cs="Times New Roman"/>
          <w:b/>
          <w:sz w:val="28"/>
          <w:szCs w:val="28"/>
        </w:rPr>
      </w:pPr>
    </w:p>
    <w:p w14:paraId="01BF1082" w14:textId="77777777" w:rsidR="00420941" w:rsidRDefault="00F44977" w:rsidP="007430D8">
      <w:pPr>
        <w:pStyle w:val="Normal1"/>
        <w:spacing w:line="240" w:lineRule="auto"/>
        <w:contextualSpacing/>
        <w:jc w:val="center"/>
        <w:rPr>
          <w:i/>
          <w:noProof/>
          <w:sz w:val="24"/>
          <w:szCs w:val="28"/>
        </w:rPr>
      </w:pPr>
      <w:r w:rsidRPr="00233247">
        <w:rPr>
          <w:b/>
          <w:noProof/>
          <w:sz w:val="24"/>
          <w:szCs w:val="28"/>
        </w:rPr>
        <w:t>SB</w:t>
      </w:r>
      <w:r w:rsidR="0004609F">
        <w:rPr>
          <w:b/>
          <w:noProof/>
          <w:sz w:val="24"/>
          <w:szCs w:val="28"/>
        </w:rPr>
        <w:t>1</w:t>
      </w:r>
      <w:r w:rsidRPr="00233247">
        <w:rPr>
          <w:b/>
          <w:noProof/>
          <w:sz w:val="24"/>
          <w:szCs w:val="28"/>
        </w:rPr>
        <w:t xml:space="preserve"> </w:t>
      </w:r>
      <w:r w:rsidRPr="00233247">
        <w:rPr>
          <w:i/>
          <w:noProof/>
          <w:sz w:val="24"/>
          <w:szCs w:val="28"/>
        </w:rPr>
        <w:t xml:space="preserve">(Sen. </w:t>
      </w:r>
      <w:r>
        <w:rPr>
          <w:i/>
          <w:noProof/>
          <w:sz w:val="24"/>
          <w:szCs w:val="28"/>
        </w:rPr>
        <w:t>Bo Watson</w:t>
      </w:r>
      <w:r w:rsidRPr="00233247">
        <w:rPr>
          <w:i/>
          <w:noProof/>
          <w:sz w:val="24"/>
          <w:szCs w:val="28"/>
        </w:rPr>
        <w:t xml:space="preserve"> – R. </w:t>
      </w:r>
      <w:r w:rsidR="0004609F">
        <w:rPr>
          <w:i/>
          <w:noProof/>
          <w:sz w:val="24"/>
          <w:szCs w:val="28"/>
        </w:rPr>
        <w:t>Hi</w:t>
      </w:r>
      <w:r>
        <w:rPr>
          <w:i/>
          <w:noProof/>
          <w:sz w:val="24"/>
          <w:szCs w:val="28"/>
        </w:rPr>
        <w:t>xson</w:t>
      </w:r>
      <w:r w:rsidRPr="00233247">
        <w:rPr>
          <w:i/>
          <w:noProof/>
          <w:sz w:val="24"/>
          <w:szCs w:val="28"/>
        </w:rPr>
        <w:t>)</w:t>
      </w:r>
      <w:r w:rsidRPr="00233247">
        <w:rPr>
          <w:noProof/>
          <w:sz w:val="24"/>
          <w:szCs w:val="28"/>
        </w:rPr>
        <w:t xml:space="preserve"> /</w:t>
      </w:r>
      <w:r>
        <w:rPr>
          <w:noProof/>
          <w:sz w:val="24"/>
          <w:szCs w:val="28"/>
        </w:rPr>
        <w:t xml:space="preserve"> </w:t>
      </w:r>
      <w:r w:rsidRPr="00233247">
        <w:rPr>
          <w:b/>
          <w:noProof/>
          <w:sz w:val="24"/>
          <w:szCs w:val="28"/>
        </w:rPr>
        <w:t>HB</w:t>
      </w:r>
      <w:r w:rsidR="0004609F">
        <w:rPr>
          <w:b/>
          <w:noProof/>
          <w:sz w:val="24"/>
          <w:szCs w:val="28"/>
        </w:rPr>
        <w:t>2</w:t>
      </w:r>
      <w:r w:rsidRPr="00233247">
        <w:rPr>
          <w:noProof/>
          <w:sz w:val="24"/>
          <w:szCs w:val="28"/>
        </w:rPr>
        <w:t xml:space="preserve"> </w:t>
      </w:r>
      <w:r w:rsidRPr="00233247">
        <w:rPr>
          <w:i/>
          <w:noProof/>
          <w:sz w:val="24"/>
          <w:szCs w:val="28"/>
        </w:rPr>
        <w:t xml:space="preserve">(Rep. </w:t>
      </w:r>
      <w:r w:rsidR="0004609F">
        <w:rPr>
          <w:i/>
          <w:noProof/>
          <w:sz w:val="24"/>
          <w:szCs w:val="28"/>
        </w:rPr>
        <w:t>Robin Smith</w:t>
      </w:r>
      <w:r w:rsidRPr="00233247">
        <w:rPr>
          <w:i/>
          <w:noProof/>
          <w:sz w:val="24"/>
          <w:szCs w:val="28"/>
        </w:rPr>
        <w:t xml:space="preserve"> – R.</w:t>
      </w:r>
      <w:r w:rsidR="0004609F">
        <w:rPr>
          <w:i/>
          <w:noProof/>
          <w:sz w:val="24"/>
          <w:szCs w:val="28"/>
        </w:rPr>
        <w:t xml:space="preserve"> Hixon</w:t>
      </w:r>
      <w:r w:rsidRPr="00233247">
        <w:rPr>
          <w:i/>
          <w:noProof/>
          <w:sz w:val="24"/>
          <w:szCs w:val="28"/>
        </w:rPr>
        <w:t>)</w:t>
      </w:r>
    </w:p>
    <w:p w14:paraId="19E90825" w14:textId="77777777" w:rsidR="00420941" w:rsidRDefault="00420941" w:rsidP="004A4E1F">
      <w:pPr>
        <w:pStyle w:val="Normal1"/>
        <w:spacing w:line="240" w:lineRule="auto"/>
        <w:contextualSpacing/>
        <w:rPr>
          <w:rFonts w:asciiTheme="minorHAnsi" w:eastAsiaTheme="minorHAnsi" w:hAnsiTheme="minorHAnsi" w:cstheme="minorBidi"/>
          <w:i/>
          <w:noProof/>
          <w:color w:val="auto"/>
          <w:sz w:val="24"/>
          <w:szCs w:val="28"/>
        </w:rPr>
      </w:pPr>
    </w:p>
    <w:p w14:paraId="1BEA40C6" w14:textId="77777777" w:rsidR="00C1550F" w:rsidRPr="000658DB" w:rsidRDefault="004A4E1F" w:rsidP="000658DB">
      <w:pPr>
        <w:pStyle w:val="Normal1"/>
        <w:spacing w:line="240" w:lineRule="auto"/>
        <w:contextualSpacing/>
        <w:rPr>
          <w:rFonts w:asciiTheme="minorHAnsi" w:eastAsia="Times New Roman" w:hAnsiTheme="minorHAnsi" w:cs="Times New Roman"/>
          <w:b/>
          <w:color w:val="0070C0"/>
        </w:rPr>
      </w:pPr>
      <w:r w:rsidRPr="001470CD">
        <w:rPr>
          <w:rFonts w:asciiTheme="minorHAnsi" w:eastAsia="Times New Roman" w:hAnsiTheme="minorHAnsi" w:cs="Times New Roman"/>
          <w:b/>
          <w:color w:val="0070C0"/>
        </w:rPr>
        <w:t>Why the bill is needed</w:t>
      </w:r>
      <w:r w:rsidR="0015186E" w:rsidRPr="001470CD">
        <w:rPr>
          <w:rFonts w:asciiTheme="minorHAnsi" w:eastAsia="Times New Roman" w:hAnsiTheme="minorHAnsi" w:cs="Times New Roman"/>
          <w:b/>
          <w:color w:val="0070C0"/>
        </w:rPr>
        <w:t>:</w:t>
      </w:r>
    </w:p>
    <w:p w14:paraId="4CE8B06B" w14:textId="43554FFA" w:rsidR="00907058" w:rsidRDefault="00C1550F" w:rsidP="00A964F3">
      <w:pPr>
        <w:contextualSpacing/>
        <w:jc w:val="both"/>
        <w:rPr>
          <w:rFonts w:eastAsia="Times New Roman" w:cs="Times New Roman"/>
        </w:rPr>
      </w:pPr>
      <w:r>
        <w:rPr>
          <w:rFonts w:eastAsia="Times New Roman" w:cs="Times New Roman"/>
        </w:rPr>
        <w:t>Physicians and other h</w:t>
      </w:r>
      <w:r w:rsidR="003274A2">
        <w:rPr>
          <w:rFonts w:eastAsia="Times New Roman" w:cs="Times New Roman"/>
        </w:rPr>
        <w:t xml:space="preserve">ealthcare providers sign contracts to be in </w:t>
      </w:r>
      <w:r w:rsidR="00451230">
        <w:rPr>
          <w:rFonts w:eastAsia="Times New Roman" w:cs="Times New Roman"/>
        </w:rPr>
        <w:t>health insurance plans’</w:t>
      </w:r>
      <w:r w:rsidR="003274A2">
        <w:rPr>
          <w:rFonts w:eastAsia="Times New Roman" w:cs="Times New Roman"/>
        </w:rPr>
        <w:t xml:space="preserve"> networks. </w:t>
      </w:r>
      <w:r w:rsidR="001B2F67">
        <w:rPr>
          <w:rFonts w:eastAsia="Times New Roman" w:cs="Times New Roman"/>
        </w:rPr>
        <w:t xml:space="preserve">Since </w:t>
      </w:r>
      <w:r w:rsidR="003274A2">
        <w:rPr>
          <w:rFonts w:eastAsia="Times New Roman" w:cs="Times New Roman"/>
        </w:rPr>
        <w:t>the p</w:t>
      </w:r>
      <w:r w:rsidR="00A55C11">
        <w:rPr>
          <w:rFonts w:eastAsia="Times New Roman" w:cs="Times New Roman"/>
        </w:rPr>
        <w:t>assage of t</w:t>
      </w:r>
      <w:r w:rsidR="003D5332" w:rsidRPr="003D5332">
        <w:rPr>
          <w:rFonts w:eastAsia="Times New Roman" w:cs="Times New Roman"/>
        </w:rPr>
        <w:t xml:space="preserve">he </w:t>
      </w:r>
      <w:r w:rsidR="00A55C11">
        <w:rPr>
          <w:rFonts w:eastAsia="Times New Roman" w:cs="Times New Roman"/>
        </w:rPr>
        <w:t>Affordable Care Act</w:t>
      </w:r>
      <w:r w:rsidR="003274A2">
        <w:rPr>
          <w:rFonts w:eastAsia="Times New Roman" w:cs="Times New Roman"/>
        </w:rPr>
        <w:t xml:space="preserve">, </w:t>
      </w:r>
      <w:r w:rsidR="00982ED7">
        <w:rPr>
          <w:rFonts w:eastAsia="Times New Roman" w:cs="Times New Roman"/>
        </w:rPr>
        <w:t xml:space="preserve">some </w:t>
      </w:r>
      <w:r w:rsidR="003274A2">
        <w:rPr>
          <w:rFonts w:eastAsia="Times New Roman" w:cs="Times New Roman"/>
        </w:rPr>
        <w:t xml:space="preserve">health insurance companies </w:t>
      </w:r>
      <w:r w:rsidR="001B2F67">
        <w:rPr>
          <w:rFonts w:eastAsia="Times New Roman" w:cs="Times New Roman"/>
        </w:rPr>
        <w:t xml:space="preserve">have decided to </w:t>
      </w:r>
      <w:r>
        <w:rPr>
          <w:rFonts w:eastAsia="Times New Roman" w:cs="Times New Roman"/>
        </w:rPr>
        <w:t xml:space="preserve">cut costs </w:t>
      </w:r>
      <w:r w:rsidR="007D5FAA">
        <w:rPr>
          <w:rFonts w:eastAsia="Times New Roman" w:cs="Times New Roman"/>
        </w:rPr>
        <w:t>(and increase profits</w:t>
      </w:r>
      <w:r w:rsidR="00472FAE">
        <w:rPr>
          <w:rFonts w:eastAsia="Times New Roman" w:cs="Times New Roman"/>
        </w:rPr>
        <w:t>)</w:t>
      </w:r>
      <w:r w:rsidR="007D1ACB">
        <w:rPr>
          <w:rFonts w:eastAsia="Times New Roman" w:cs="Times New Roman"/>
        </w:rPr>
        <w:t xml:space="preserve"> by</w:t>
      </w:r>
      <w:r w:rsidR="00472FAE">
        <w:rPr>
          <w:rFonts w:eastAsia="Times New Roman" w:cs="Times New Roman"/>
        </w:rPr>
        <w:t xml:space="preserve"> creating</w:t>
      </w:r>
      <w:r w:rsidR="001B2F67">
        <w:rPr>
          <w:rFonts w:eastAsia="Times New Roman" w:cs="Times New Roman"/>
        </w:rPr>
        <w:t xml:space="preserve"> “narrow networks” </w:t>
      </w:r>
      <w:r w:rsidR="00451230">
        <w:rPr>
          <w:rFonts w:eastAsia="Times New Roman" w:cs="Times New Roman"/>
        </w:rPr>
        <w:t xml:space="preserve">by contracting </w:t>
      </w:r>
      <w:r>
        <w:rPr>
          <w:rFonts w:eastAsia="Times New Roman" w:cs="Times New Roman"/>
        </w:rPr>
        <w:t>with</w:t>
      </w:r>
      <w:r w:rsidR="001B2F67">
        <w:rPr>
          <w:rFonts w:eastAsia="Times New Roman" w:cs="Times New Roman"/>
        </w:rPr>
        <w:t xml:space="preserve"> fewer</w:t>
      </w:r>
      <w:r w:rsidR="00CA1E79">
        <w:rPr>
          <w:rFonts w:eastAsia="Times New Roman" w:cs="Times New Roman"/>
        </w:rPr>
        <w:t xml:space="preserve"> </w:t>
      </w:r>
      <w:r w:rsidR="003274A2">
        <w:rPr>
          <w:rFonts w:eastAsia="Times New Roman" w:cs="Times New Roman"/>
        </w:rPr>
        <w:t>healthcare providers</w:t>
      </w:r>
      <w:r w:rsidR="00BB53A6">
        <w:rPr>
          <w:rFonts w:eastAsia="Times New Roman" w:cs="Times New Roman"/>
        </w:rPr>
        <w:t xml:space="preserve"> who extend preferential reimbursement rates to those in their network</w:t>
      </w:r>
      <w:r w:rsidR="003274A2">
        <w:rPr>
          <w:rFonts w:eastAsia="Times New Roman" w:cs="Times New Roman"/>
        </w:rPr>
        <w:t xml:space="preserve">. </w:t>
      </w:r>
    </w:p>
    <w:p w14:paraId="3A6446D5" w14:textId="77777777" w:rsidR="00907058" w:rsidRDefault="00907058" w:rsidP="00A964F3">
      <w:pPr>
        <w:contextualSpacing/>
        <w:jc w:val="both"/>
        <w:rPr>
          <w:rFonts w:eastAsia="Times New Roman" w:cs="Times New Roman"/>
        </w:rPr>
      </w:pPr>
    </w:p>
    <w:p w14:paraId="1C9D7E3C" w14:textId="5E56CF23" w:rsidR="00FC1781" w:rsidRDefault="00C1550F" w:rsidP="00A964F3">
      <w:pPr>
        <w:contextualSpacing/>
        <w:jc w:val="both"/>
        <w:rPr>
          <w:rFonts w:eastAsia="Times New Roman" w:cs="Times New Roman"/>
        </w:rPr>
      </w:pPr>
      <w:r>
        <w:rPr>
          <w:rFonts w:eastAsia="Times New Roman" w:cs="Times New Roman"/>
        </w:rPr>
        <w:t xml:space="preserve">While most </w:t>
      </w:r>
      <w:r w:rsidR="003D5332" w:rsidRPr="003D5332">
        <w:rPr>
          <w:rFonts w:eastAsia="Times New Roman" w:cs="Times New Roman"/>
        </w:rPr>
        <w:t>hospital</w:t>
      </w:r>
      <w:r w:rsidR="003274A2">
        <w:rPr>
          <w:rFonts w:eastAsia="Times New Roman" w:cs="Times New Roman"/>
        </w:rPr>
        <w:t>-</w:t>
      </w:r>
      <w:r w:rsidR="003D5332" w:rsidRPr="003D5332">
        <w:rPr>
          <w:rFonts w:eastAsia="Times New Roman" w:cs="Times New Roman"/>
        </w:rPr>
        <w:t>based</w:t>
      </w:r>
      <w:r w:rsidR="001B2F67">
        <w:rPr>
          <w:rFonts w:eastAsia="Times New Roman" w:cs="Times New Roman"/>
        </w:rPr>
        <w:t xml:space="preserve"> providers </w:t>
      </w:r>
      <w:r w:rsidR="003D5332">
        <w:rPr>
          <w:rFonts w:eastAsia="Times New Roman" w:cs="Times New Roman"/>
        </w:rPr>
        <w:t>want to be in network</w:t>
      </w:r>
      <w:r>
        <w:rPr>
          <w:rFonts w:eastAsia="Times New Roman" w:cs="Times New Roman"/>
        </w:rPr>
        <w:t>, the health</w:t>
      </w:r>
      <w:r w:rsidR="00451230">
        <w:rPr>
          <w:rFonts w:eastAsia="Times New Roman" w:cs="Times New Roman"/>
        </w:rPr>
        <w:t xml:space="preserve"> insurance</w:t>
      </w:r>
      <w:r>
        <w:rPr>
          <w:rFonts w:eastAsia="Times New Roman" w:cs="Times New Roman"/>
        </w:rPr>
        <w:t xml:space="preserve"> plans often deny </w:t>
      </w:r>
      <w:r w:rsidR="005D4BCB">
        <w:rPr>
          <w:rFonts w:eastAsia="Times New Roman" w:cs="Times New Roman"/>
        </w:rPr>
        <w:t>those</w:t>
      </w:r>
      <w:r w:rsidR="00CA1E79">
        <w:rPr>
          <w:rFonts w:eastAsia="Times New Roman" w:cs="Times New Roman"/>
        </w:rPr>
        <w:t xml:space="preserve"> </w:t>
      </w:r>
      <w:r>
        <w:rPr>
          <w:rFonts w:eastAsia="Times New Roman" w:cs="Times New Roman"/>
        </w:rPr>
        <w:t xml:space="preserve">contracts or offer </w:t>
      </w:r>
      <w:r w:rsidR="00CA1E79">
        <w:rPr>
          <w:rFonts w:eastAsia="Times New Roman" w:cs="Times New Roman"/>
        </w:rPr>
        <w:t>unacceptably low</w:t>
      </w:r>
      <w:r w:rsidR="00451230">
        <w:rPr>
          <w:rFonts w:eastAsia="Times New Roman" w:cs="Times New Roman"/>
        </w:rPr>
        <w:t xml:space="preserve"> reimbursement rates</w:t>
      </w:r>
      <w:r>
        <w:rPr>
          <w:rFonts w:eastAsia="Times New Roman" w:cs="Times New Roman"/>
        </w:rPr>
        <w:t xml:space="preserve">. </w:t>
      </w:r>
      <w:r w:rsidR="001B2F67">
        <w:rPr>
          <w:rFonts w:eastAsia="Times New Roman" w:cs="Times New Roman"/>
        </w:rPr>
        <w:t>So</w:t>
      </w:r>
      <w:r w:rsidR="00451230">
        <w:rPr>
          <w:rFonts w:eastAsia="Times New Roman" w:cs="Times New Roman"/>
        </w:rPr>
        <w:t>me</w:t>
      </w:r>
      <w:r w:rsidR="001B2F67">
        <w:rPr>
          <w:rFonts w:eastAsia="Times New Roman" w:cs="Times New Roman"/>
        </w:rPr>
        <w:t xml:space="preserve"> </w:t>
      </w:r>
      <w:r>
        <w:rPr>
          <w:rFonts w:eastAsia="Times New Roman" w:cs="Times New Roman"/>
        </w:rPr>
        <w:t>patients who schedule care at an in-network hospital may receive service</w:t>
      </w:r>
      <w:r w:rsidR="00451230">
        <w:rPr>
          <w:rFonts w:eastAsia="Times New Roman" w:cs="Times New Roman"/>
        </w:rPr>
        <w:t>s</w:t>
      </w:r>
      <w:r>
        <w:rPr>
          <w:rFonts w:eastAsia="Times New Roman" w:cs="Times New Roman"/>
        </w:rPr>
        <w:t xml:space="preserve"> from out</w:t>
      </w:r>
      <w:r w:rsidR="00BB53A6">
        <w:rPr>
          <w:rFonts w:eastAsia="Times New Roman" w:cs="Times New Roman"/>
        </w:rPr>
        <w:t>-</w:t>
      </w:r>
      <w:r>
        <w:rPr>
          <w:rFonts w:eastAsia="Times New Roman" w:cs="Times New Roman"/>
        </w:rPr>
        <w:t>of</w:t>
      </w:r>
      <w:r w:rsidR="00BB53A6">
        <w:rPr>
          <w:rFonts w:eastAsia="Times New Roman" w:cs="Times New Roman"/>
        </w:rPr>
        <w:t>-</w:t>
      </w:r>
      <w:r>
        <w:rPr>
          <w:rFonts w:eastAsia="Times New Roman" w:cs="Times New Roman"/>
        </w:rPr>
        <w:t>network providers as part of the same visit</w:t>
      </w:r>
      <w:r w:rsidR="00BB53A6">
        <w:rPr>
          <w:rFonts w:eastAsia="Times New Roman" w:cs="Times New Roman"/>
        </w:rPr>
        <w:t xml:space="preserve">. </w:t>
      </w:r>
      <w:r w:rsidR="007D1ACB">
        <w:rPr>
          <w:rFonts w:eastAsia="Times New Roman" w:cs="Times New Roman"/>
        </w:rPr>
        <w:t>Patients</w:t>
      </w:r>
      <w:r w:rsidR="00BB53A6">
        <w:rPr>
          <w:rFonts w:eastAsia="Times New Roman" w:cs="Times New Roman"/>
        </w:rPr>
        <w:t xml:space="preserve"> </w:t>
      </w:r>
      <w:r>
        <w:rPr>
          <w:rFonts w:eastAsia="Times New Roman" w:cs="Times New Roman"/>
        </w:rPr>
        <w:t xml:space="preserve">cannot choose </w:t>
      </w:r>
      <w:r w:rsidR="00D2601F">
        <w:rPr>
          <w:rFonts w:eastAsia="Times New Roman" w:cs="Times New Roman"/>
        </w:rPr>
        <w:t xml:space="preserve">everyone involved </w:t>
      </w:r>
      <w:r w:rsidR="00BB53A6">
        <w:rPr>
          <w:rFonts w:eastAsia="Times New Roman" w:cs="Times New Roman"/>
        </w:rPr>
        <w:t xml:space="preserve">in their care team </w:t>
      </w:r>
      <w:r w:rsidR="007D5FAA">
        <w:rPr>
          <w:rFonts w:eastAsia="Times New Roman" w:cs="Times New Roman"/>
        </w:rPr>
        <w:t>(e.g. radiologist</w:t>
      </w:r>
      <w:r w:rsidR="00BB53A6">
        <w:rPr>
          <w:rFonts w:eastAsia="Times New Roman" w:cs="Times New Roman"/>
        </w:rPr>
        <w:t>s</w:t>
      </w:r>
      <w:r w:rsidR="004016F7">
        <w:rPr>
          <w:rFonts w:eastAsia="Times New Roman" w:cs="Times New Roman"/>
        </w:rPr>
        <w:t>, anesthesiologist, emergency physicians or</w:t>
      </w:r>
      <w:r w:rsidR="007D5FAA">
        <w:rPr>
          <w:rFonts w:eastAsia="Times New Roman" w:cs="Times New Roman"/>
        </w:rPr>
        <w:t>, pathologist</w:t>
      </w:r>
      <w:r w:rsidR="00BB53A6">
        <w:rPr>
          <w:rFonts w:eastAsia="Times New Roman" w:cs="Times New Roman"/>
        </w:rPr>
        <w:t>s, etc.)</w:t>
      </w:r>
    </w:p>
    <w:p w14:paraId="6E397891" w14:textId="77777777" w:rsidR="00FC1781" w:rsidRDefault="00FC1781" w:rsidP="00A964F3">
      <w:pPr>
        <w:contextualSpacing/>
        <w:jc w:val="both"/>
        <w:rPr>
          <w:rFonts w:eastAsia="Times New Roman" w:cs="Times New Roman"/>
        </w:rPr>
      </w:pPr>
    </w:p>
    <w:p w14:paraId="28793BA9" w14:textId="77777777" w:rsidR="00D529D9" w:rsidRDefault="00D529D9" w:rsidP="00D529D9">
      <w:pPr>
        <w:contextualSpacing/>
        <w:jc w:val="both"/>
        <w:rPr>
          <w:rFonts w:eastAsia="Times New Roman" w:cs="Times New Roman"/>
        </w:rPr>
      </w:pPr>
      <w:r>
        <w:rPr>
          <w:rFonts w:eastAsia="Times New Roman" w:cs="Times New Roman"/>
        </w:rPr>
        <w:t xml:space="preserve">Out-of-network physicians have a right to be reimbursed for their services and are left to bill patients directly for the higher out-of-network charges. </w:t>
      </w:r>
      <w:r w:rsidDel="003A352B">
        <w:rPr>
          <w:rFonts w:eastAsia="Times New Roman" w:cs="Times New Roman"/>
        </w:rPr>
        <w:t>Patients get caught in the middle when health insurance plans do not pay the out of network provider’s entire bill and so they receive “surprise medical bills” for the balance amount not paid by insurance.</w:t>
      </w:r>
    </w:p>
    <w:p w14:paraId="6014C6F6" w14:textId="77777777" w:rsidR="00C1550F" w:rsidRDefault="00C1550F" w:rsidP="00A964F3">
      <w:pPr>
        <w:contextualSpacing/>
        <w:jc w:val="both"/>
        <w:rPr>
          <w:rFonts w:eastAsia="Times New Roman" w:cs="Times New Roman"/>
        </w:rPr>
      </w:pPr>
    </w:p>
    <w:p w14:paraId="1821A895" w14:textId="237E54B3" w:rsidR="00C1550F" w:rsidRDefault="00D2601F" w:rsidP="00A964F3">
      <w:pPr>
        <w:contextualSpacing/>
        <w:jc w:val="both"/>
        <w:rPr>
          <w:rFonts w:eastAsia="Times New Roman" w:cs="Times New Roman"/>
        </w:rPr>
      </w:pPr>
      <w:r>
        <w:rPr>
          <w:rFonts w:eastAsia="Times New Roman" w:cs="Times New Roman"/>
        </w:rPr>
        <w:t xml:space="preserve">TMA wants a reasonable solution that shares the burden </w:t>
      </w:r>
      <w:r w:rsidR="005D4BCB">
        <w:rPr>
          <w:rFonts w:eastAsia="Times New Roman" w:cs="Times New Roman"/>
        </w:rPr>
        <w:t>between providers</w:t>
      </w:r>
      <w:r w:rsidR="00D67FB2">
        <w:rPr>
          <w:rFonts w:eastAsia="Times New Roman" w:cs="Times New Roman"/>
        </w:rPr>
        <w:t xml:space="preserve"> and</w:t>
      </w:r>
      <w:r>
        <w:rPr>
          <w:rFonts w:eastAsia="Times New Roman" w:cs="Times New Roman"/>
        </w:rPr>
        <w:t xml:space="preserve"> insurers</w:t>
      </w:r>
      <w:r w:rsidR="00CA1E79">
        <w:rPr>
          <w:rFonts w:eastAsia="Times New Roman" w:cs="Times New Roman"/>
        </w:rPr>
        <w:t>,</w:t>
      </w:r>
      <w:r>
        <w:rPr>
          <w:rFonts w:eastAsia="Times New Roman" w:cs="Times New Roman"/>
        </w:rPr>
        <w:t xml:space="preserve"> </w:t>
      </w:r>
      <w:r w:rsidR="00D67FB2">
        <w:rPr>
          <w:rFonts w:eastAsia="Times New Roman" w:cs="Times New Roman"/>
        </w:rPr>
        <w:t>but</w:t>
      </w:r>
      <w:r>
        <w:rPr>
          <w:rFonts w:eastAsia="Times New Roman" w:cs="Times New Roman"/>
        </w:rPr>
        <w:t xml:space="preserve"> f</w:t>
      </w:r>
      <w:r w:rsidRPr="00D2601F">
        <w:rPr>
          <w:rFonts w:eastAsia="Times New Roman" w:cs="Times New Roman"/>
        </w:rPr>
        <w:t xml:space="preserve">rees patients from </w:t>
      </w:r>
      <w:r w:rsidR="005F4B44">
        <w:rPr>
          <w:rFonts w:eastAsia="Times New Roman" w:cs="Times New Roman"/>
        </w:rPr>
        <w:t>balance and surprise</w:t>
      </w:r>
      <w:r w:rsidRPr="00D2601F">
        <w:rPr>
          <w:rFonts w:eastAsia="Times New Roman" w:cs="Times New Roman"/>
        </w:rPr>
        <w:t xml:space="preserve"> </w:t>
      </w:r>
      <w:r w:rsidR="00A33519">
        <w:rPr>
          <w:rFonts w:eastAsia="Times New Roman" w:cs="Times New Roman"/>
        </w:rPr>
        <w:t xml:space="preserve">bills for </w:t>
      </w:r>
      <w:r w:rsidRPr="00D2601F">
        <w:rPr>
          <w:rFonts w:eastAsia="Times New Roman" w:cs="Times New Roman"/>
        </w:rPr>
        <w:t xml:space="preserve">out-of-network </w:t>
      </w:r>
      <w:r w:rsidR="00BB53A6">
        <w:rPr>
          <w:rFonts w:eastAsia="Times New Roman" w:cs="Times New Roman"/>
        </w:rPr>
        <w:t>care</w:t>
      </w:r>
      <w:r w:rsidR="003A352B">
        <w:rPr>
          <w:rFonts w:eastAsia="Times New Roman" w:cs="Times New Roman"/>
        </w:rPr>
        <w:t>.</w:t>
      </w:r>
      <w:r w:rsidR="00D529D9">
        <w:rPr>
          <w:rFonts w:eastAsia="Times New Roman" w:cs="Times New Roman"/>
        </w:rPr>
        <w:t xml:space="preserve"> </w:t>
      </w:r>
      <w:r w:rsidR="005F4B44">
        <w:rPr>
          <w:rFonts w:eastAsia="Times New Roman" w:cs="Times New Roman"/>
        </w:rPr>
        <w:t>The federal legislation only applies to those Tennesseans’ enrolled in E.R.I.S.A plans. Therefore</w:t>
      </w:r>
      <w:r w:rsidR="003A352B">
        <w:rPr>
          <w:rFonts w:eastAsia="Times New Roman" w:cs="Times New Roman"/>
        </w:rPr>
        <w:t>,</w:t>
      </w:r>
      <w:r w:rsidR="005F4B44">
        <w:rPr>
          <w:rFonts w:eastAsia="Times New Roman" w:cs="Times New Roman"/>
        </w:rPr>
        <w:t xml:space="preserve"> a state solution for Tennesseans’ in the private non-E.R.I.S.A. market and uninsured needs to be implemented.  It is important to maintain continuity with the federal solution while making sure that all Tennesseans can be held harmless from surprise or balance medical bills that are no fault of their own.</w:t>
      </w:r>
    </w:p>
    <w:p w14:paraId="5E4D0E1B" w14:textId="75BEC5BF" w:rsidR="004A4E1F" w:rsidRDefault="004A4E1F" w:rsidP="00F057CA">
      <w:pPr>
        <w:contextualSpacing/>
        <w:jc w:val="both"/>
        <w:rPr>
          <w:b/>
        </w:rPr>
      </w:pPr>
    </w:p>
    <w:p w14:paraId="6A5576C6" w14:textId="531ED20B" w:rsidR="00907058" w:rsidRPr="00907058" w:rsidRDefault="00907058" w:rsidP="00907058">
      <w:pPr>
        <w:contextualSpacing/>
        <w:jc w:val="both"/>
        <w:rPr>
          <w:rFonts w:cstheme="minorHAnsi"/>
          <w:b/>
          <w:bCs/>
        </w:rPr>
      </w:pPr>
      <w:r w:rsidRPr="00907058">
        <w:rPr>
          <w:rFonts w:cstheme="minorHAnsi"/>
          <w:b/>
          <w:bCs/>
        </w:rPr>
        <w:t>This</w:t>
      </w:r>
      <w:r w:rsidR="007D1ACB">
        <w:rPr>
          <w:rFonts w:cstheme="minorHAnsi"/>
          <w:b/>
          <w:bCs/>
        </w:rPr>
        <w:t xml:space="preserve"> bill</w:t>
      </w:r>
      <w:r w:rsidR="00BB53A6">
        <w:rPr>
          <w:rFonts w:cstheme="minorHAnsi"/>
          <w:b/>
          <w:bCs/>
        </w:rPr>
        <w:t xml:space="preserve"> </w:t>
      </w:r>
      <w:r w:rsidRPr="00907058">
        <w:rPr>
          <w:rFonts w:cstheme="minorHAnsi"/>
          <w:b/>
          <w:bCs/>
        </w:rPr>
        <w:t>closely mirrors recently passed federal legislation.</w:t>
      </w:r>
    </w:p>
    <w:p w14:paraId="32B524E7" w14:textId="77777777" w:rsidR="00907058" w:rsidRDefault="00907058" w:rsidP="00F057CA">
      <w:pPr>
        <w:contextualSpacing/>
        <w:jc w:val="both"/>
        <w:rPr>
          <w:b/>
        </w:rPr>
      </w:pPr>
    </w:p>
    <w:p w14:paraId="4D230191" w14:textId="77777777" w:rsidR="003D5332" w:rsidRPr="001470CD" w:rsidRDefault="00C23280" w:rsidP="00F057CA">
      <w:pPr>
        <w:contextualSpacing/>
        <w:jc w:val="both"/>
        <w:rPr>
          <w:b/>
          <w:color w:val="0070C0"/>
        </w:rPr>
      </w:pPr>
      <w:r>
        <w:rPr>
          <w:b/>
          <w:color w:val="0070C0"/>
        </w:rPr>
        <w:t>How the bill would work</w:t>
      </w:r>
      <w:r w:rsidR="0015186E" w:rsidRPr="001470CD">
        <w:rPr>
          <w:b/>
          <w:color w:val="0070C0"/>
        </w:rPr>
        <w:t>:</w:t>
      </w:r>
    </w:p>
    <w:p w14:paraId="40AA5D93" w14:textId="344BC957" w:rsidR="00B1121F" w:rsidRPr="00B1121F" w:rsidRDefault="0046605F" w:rsidP="009E1F4D">
      <w:pPr>
        <w:pStyle w:val="ListParagraph"/>
        <w:numPr>
          <w:ilvl w:val="0"/>
          <w:numId w:val="2"/>
        </w:numPr>
        <w:tabs>
          <w:tab w:val="left" w:pos="3960"/>
        </w:tabs>
        <w:contextualSpacing/>
        <w:jc w:val="both"/>
        <w:rPr>
          <w:rFonts w:eastAsia="Times New Roman" w:cstheme="minorHAnsi"/>
          <w:color w:val="000000"/>
        </w:rPr>
      </w:pPr>
      <w:r w:rsidRPr="0046605F">
        <w:rPr>
          <w:rFonts w:eastAsia="Times New Roman" w:cstheme="minorHAnsi"/>
          <w:color w:val="000000"/>
        </w:rPr>
        <w:t>The</w:t>
      </w:r>
      <w:r w:rsidR="00F86697">
        <w:rPr>
          <w:rFonts w:eastAsia="Times New Roman" w:cstheme="minorHAnsi"/>
          <w:color w:val="000000"/>
        </w:rPr>
        <w:t xml:space="preserve"> </w:t>
      </w:r>
      <w:r w:rsidR="005D4BCB">
        <w:rPr>
          <w:rFonts w:eastAsia="Times New Roman" w:cstheme="minorHAnsi"/>
          <w:color w:val="000000"/>
        </w:rPr>
        <w:t>initial</w:t>
      </w:r>
      <w:r w:rsidR="00F86697">
        <w:rPr>
          <w:rFonts w:eastAsia="Times New Roman" w:cstheme="minorHAnsi"/>
          <w:color w:val="000000"/>
        </w:rPr>
        <w:t xml:space="preserve"> payment</w:t>
      </w:r>
      <w:r w:rsidR="009841F9">
        <w:rPr>
          <w:rFonts w:eastAsia="Times New Roman" w:cstheme="minorHAnsi"/>
          <w:color w:val="000000"/>
        </w:rPr>
        <w:t xml:space="preserve"> to the provider</w:t>
      </w:r>
      <w:r w:rsidR="00F86697">
        <w:rPr>
          <w:rFonts w:eastAsia="Times New Roman" w:cstheme="minorHAnsi"/>
          <w:color w:val="000000"/>
        </w:rPr>
        <w:t xml:space="preserve"> is</w:t>
      </w:r>
      <w:r w:rsidR="005D4BCB">
        <w:rPr>
          <w:rFonts w:eastAsia="Times New Roman" w:cstheme="minorHAnsi"/>
          <w:color w:val="000000"/>
        </w:rPr>
        <w:t xml:space="preserve"> chosen by the insurance entity, as it was passed in the federal legislation.</w:t>
      </w:r>
    </w:p>
    <w:p w14:paraId="62D495DC" w14:textId="77777777" w:rsidR="00B1121F" w:rsidRPr="0046605F" w:rsidRDefault="00F86697" w:rsidP="007B09A9">
      <w:pPr>
        <w:pStyle w:val="ListParagraph"/>
        <w:numPr>
          <w:ilvl w:val="0"/>
          <w:numId w:val="4"/>
        </w:numPr>
        <w:shd w:val="clear" w:color="auto" w:fill="FFFFFF"/>
        <w:tabs>
          <w:tab w:val="left" w:pos="3960"/>
        </w:tabs>
        <w:spacing w:before="100" w:beforeAutospacing="1" w:after="240"/>
        <w:jc w:val="both"/>
        <w:rPr>
          <w:rFonts w:ascii="Calibri" w:eastAsia="Times New Roman" w:hAnsi="Calibri" w:cs="Calibri"/>
          <w:color w:val="000000"/>
        </w:rPr>
      </w:pPr>
      <w:r>
        <w:rPr>
          <w:rFonts w:ascii="Calibri" w:eastAsia="Times New Roman" w:hAnsi="Calibri" w:cs="Calibri"/>
          <w:color w:val="000000"/>
        </w:rPr>
        <w:t xml:space="preserve">All </w:t>
      </w:r>
      <w:r w:rsidR="003333F6">
        <w:rPr>
          <w:rFonts w:ascii="Calibri" w:eastAsia="Times New Roman" w:hAnsi="Calibri" w:cs="Calibri"/>
          <w:color w:val="000000"/>
        </w:rPr>
        <w:t>a</w:t>
      </w:r>
      <w:r w:rsidR="00B1121F" w:rsidRPr="0046605F">
        <w:rPr>
          <w:rFonts w:ascii="Calibri" w:eastAsia="Times New Roman" w:hAnsi="Calibri" w:cs="Calibri"/>
          <w:color w:val="000000"/>
        </w:rPr>
        <w:t xml:space="preserve">mounts are verified by the </w:t>
      </w:r>
      <w:r w:rsidR="00C23280">
        <w:rPr>
          <w:rFonts w:ascii="Calibri" w:eastAsia="Times New Roman" w:hAnsi="Calibri" w:cs="Calibri"/>
          <w:color w:val="000000"/>
        </w:rPr>
        <w:t>Tennessee Commissioner of C</w:t>
      </w:r>
      <w:r w:rsidR="00B1121F" w:rsidRPr="0046605F">
        <w:rPr>
          <w:rFonts w:ascii="Calibri" w:eastAsia="Times New Roman" w:hAnsi="Calibri" w:cs="Calibri"/>
          <w:color w:val="000000"/>
        </w:rPr>
        <w:t xml:space="preserve">ommerce </w:t>
      </w:r>
      <w:r w:rsidR="00D67FB2">
        <w:rPr>
          <w:rFonts w:ascii="Calibri" w:eastAsia="Times New Roman" w:hAnsi="Calibri" w:cs="Calibri"/>
          <w:color w:val="000000"/>
        </w:rPr>
        <w:t xml:space="preserve">and Insurance </w:t>
      </w:r>
      <w:r w:rsidR="00B1121F" w:rsidRPr="0046605F">
        <w:rPr>
          <w:rFonts w:ascii="Calibri" w:eastAsia="Times New Roman" w:hAnsi="Calibri" w:cs="Calibri"/>
          <w:color w:val="000000"/>
        </w:rPr>
        <w:t xml:space="preserve">from a database chosen by the </w:t>
      </w:r>
      <w:r w:rsidR="003333F6">
        <w:rPr>
          <w:rFonts w:ascii="Calibri" w:eastAsia="Times New Roman" w:hAnsi="Calibri" w:cs="Calibri"/>
          <w:color w:val="000000"/>
        </w:rPr>
        <w:t xml:space="preserve">state </w:t>
      </w:r>
      <w:r w:rsidR="00B1121F" w:rsidRPr="0046605F">
        <w:rPr>
          <w:rFonts w:ascii="Calibri" w:eastAsia="Times New Roman" w:hAnsi="Calibri" w:cs="Calibri"/>
          <w:color w:val="000000"/>
        </w:rPr>
        <w:t xml:space="preserve">legislature in a bill brought by the </w:t>
      </w:r>
      <w:r w:rsidR="00C23280">
        <w:rPr>
          <w:rFonts w:ascii="Calibri" w:eastAsia="Times New Roman" w:hAnsi="Calibri" w:cs="Calibri"/>
          <w:color w:val="000000"/>
        </w:rPr>
        <w:t>D</w:t>
      </w:r>
      <w:r w:rsidR="00B1121F" w:rsidRPr="0046605F">
        <w:rPr>
          <w:rFonts w:ascii="Calibri" w:eastAsia="Times New Roman" w:hAnsi="Calibri" w:cs="Calibri"/>
          <w:color w:val="000000"/>
        </w:rPr>
        <w:t>epartment</w:t>
      </w:r>
      <w:r w:rsidR="00C23280">
        <w:rPr>
          <w:rFonts w:ascii="Calibri" w:eastAsia="Times New Roman" w:hAnsi="Calibri" w:cs="Calibri"/>
          <w:color w:val="000000"/>
        </w:rPr>
        <w:t xml:space="preserve"> of Commerce</w:t>
      </w:r>
      <w:r w:rsidR="00B1121F" w:rsidRPr="0046605F">
        <w:rPr>
          <w:rFonts w:ascii="Calibri" w:eastAsia="Times New Roman" w:hAnsi="Calibri" w:cs="Calibri"/>
          <w:color w:val="000000"/>
        </w:rPr>
        <w:t xml:space="preserve"> every gubernatorial election</w:t>
      </w:r>
      <w:r w:rsidR="00875DE1">
        <w:rPr>
          <w:rFonts w:ascii="Calibri" w:eastAsia="Times New Roman" w:hAnsi="Calibri" w:cs="Calibri"/>
          <w:color w:val="000000"/>
        </w:rPr>
        <w:t xml:space="preserve"> cycle</w:t>
      </w:r>
      <w:r w:rsidR="00B1121F" w:rsidRPr="0046605F">
        <w:rPr>
          <w:rFonts w:ascii="Calibri" w:eastAsia="Times New Roman" w:hAnsi="Calibri" w:cs="Calibri"/>
          <w:color w:val="000000"/>
        </w:rPr>
        <w:t>.</w:t>
      </w:r>
    </w:p>
    <w:p w14:paraId="10860160" w14:textId="301C9750" w:rsidR="00B1121F" w:rsidRPr="0046605F" w:rsidRDefault="00B1121F" w:rsidP="007B09A9">
      <w:pPr>
        <w:pStyle w:val="ListParagraph"/>
        <w:numPr>
          <w:ilvl w:val="0"/>
          <w:numId w:val="4"/>
        </w:numPr>
        <w:shd w:val="clear" w:color="auto" w:fill="FFFFFF"/>
        <w:tabs>
          <w:tab w:val="left" w:pos="3960"/>
        </w:tabs>
        <w:spacing w:before="100" w:beforeAutospacing="1" w:after="240"/>
        <w:jc w:val="both"/>
        <w:rPr>
          <w:rFonts w:ascii="Calibri" w:eastAsia="Times New Roman" w:hAnsi="Calibri" w:cs="Calibri"/>
          <w:color w:val="000000"/>
        </w:rPr>
      </w:pPr>
      <w:r w:rsidRPr="0046605F">
        <w:rPr>
          <w:rFonts w:ascii="Calibri" w:eastAsia="Times New Roman" w:hAnsi="Calibri" w:cs="Calibri"/>
          <w:color w:val="000000"/>
        </w:rPr>
        <w:t xml:space="preserve">There is a provision for an all </w:t>
      </w:r>
      <w:r w:rsidR="0046605F">
        <w:rPr>
          <w:rFonts w:ascii="Calibri" w:eastAsia="Times New Roman" w:hAnsi="Calibri" w:cs="Calibri"/>
          <w:color w:val="000000"/>
        </w:rPr>
        <w:t>payer</w:t>
      </w:r>
      <w:r w:rsidR="0046605F" w:rsidRPr="0046605F">
        <w:rPr>
          <w:rFonts w:ascii="Calibri" w:eastAsia="Times New Roman" w:hAnsi="Calibri" w:cs="Calibri"/>
          <w:color w:val="000000"/>
        </w:rPr>
        <w:t>s</w:t>
      </w:r>
      <w:r w:rsidRPr="0046605F">
        <w:rPr>
          <w:rFonts w:ascii="Calibri" w:eastAsia="Times New Roman" w:hAnsi="Calibri" w:cs="Calibri"/>
          <w:color w:val="000000"/>
        </w:rPr>
        <w:t xml:space="preserve"> claims database</w:t>
      </w:r>
      <w:r w:rsidR="00D67FB2">
        <w:rPr>
          <w:rFonts w:ascii="Calibri" w:eastAsia="Times New Roman" w:hAnsi="Calibri" w:cs="Calibri"/>
          <w:color w:val="000000"/>
        </w:rPr>
        <w:t xml:space="preserve"> to verify payment rates</w:t>
      </w:r>
      <w:r w:rsidR="0046605F">
        <w:rPr>
          <w:rFonts w:ascii="Calibri" w:eastAsia="Times New Roman" w:hAnsi="Calibri" w:cs="Calibri"/>
          <w:color w:val="000000"/>
        </w:rPr>
        <w:t>,</w:t>
      </w:r>
      <w:r w:rsidRPr="0046605F">
        <w:rPr>
          <w:rFonts w:ascii="Calibri" w:eastAsia="Times New Roman" w:hAnsi="Calibri" w:cs="Calibri"/>
          <w:color w:val="000000"/>
        </w:rPr>
        <w:t xml:space="preserve"> but this version </w:t>
      </w:r>
      <w:r w:rsidR="00907058">
        <w:rPr>
          <w:rFonts w:ascii="Calibri" w:eastAsia="Times New Roman" w:hAnsi="Calibri" w:cs="Calibri"/>
          <w:color w:val="000000"/>
        </w:rPr>
        <w:t xml:space="preserve">of legislation </w:t>
      </w:r>
      <w:r w:rsidRPr="0046605F">
        <w:rPr>
          <w:rFonts w:ascii="Calibri" w:eastAsia="Times New Roman" w:hAnsi="Calibri" w:cs="Calibri"/>
          <w:color w:val="000000"/>
        </w:rPr>
        <w:t xml:space="preserve">does </w:t>
      </w:r>
      <w:proofErr w:type="gramStart"/>
      <w:r w:rsidRPr="0046605F">
        <w:rPr>
          <w:rFonts w:ascii="Calibri" w:eastAsia="Times New Roman" w:hAnsi="Calibri" w:cs="Calibri"/>
          <w:color w:val="000000"/>
        </w:rPr>
        <w:t>not</w:t>
      </w:r>
      <w:proofErr w:type="gramEnd"/>
      <w:r w:rsidRPr="0046605F">
        <w:rPr>
          <w:rFonts w:ascii="Calibri" w:eastAsia="Times New Roman" w:hAnsi="Calibri" w:cs="Calibri"/>
          <w:color w:val="000000"/>
        </w:rPr>
        <w:t xml:space="preserve"> hinge on it</w:t>
      </w:r>
      <w:r w:rsidR="005F7D42">
        <w:rPr>
          <w:rFonts w:ascii="Calibri" w:eastAsia="Times New Roman" w:hAnsi="Calibri" w:cs="Calibri"/>
          <w:color w:val="000000"/>
        </w:rPr>
        <w:t>.</w:t>
      </w:r>
    </w:p>
    <w:p w14:paraId="7FEF7B4A" w14:textId="2A3AC6E2" w:rsidR="00B1121F" w:rsidRDefault="00B1121F" w:rsidP="007B09A9">
      <w:pPr>
        <w:pStyle w:val="ListParagraph"/>
        <w:numPr>
          <w:ilvl w:val="0"/>
          <w:numId w:val="4"/>
        </w:numPr>
        <w:shd w:val="clear" w:color="auto" w:fill="FFFFFF"/>
        <w:tabs>
          <w:tab w:val="left" w:pos="3960"/>
        </w:tabs>
        <w:spacing w:before="100" w:beforeAutospacing="1" w:after="240"/>
        <w:jc w:val="both"/>
        <w:rPr>
          <w:rFonts w:ascii="Calibri" w:eastAsia="Times New Roman" w:hAnsi="Calibri" w:cs="Calibri"/>
          <w:color w:val="000000"/>
        </w:rPr>
      </w:pPr>
      <w:r w:rsidRPr="0046605F">
        <w:rPr>
          <w:rFonts w:ascii="Calibri" w:eastAsia="Times New Roman" w:hAnsi="Calibri" w:cs="Calibri"/>
          <w:color w:val="000000"/>
        </w:rPr>
        <w:t>There is a difference in balan</w:t>
      </w:r>
      <w:r w:rsidR="00875DE1">
        <w:rPr>
          <w:rFonts w:ascii="Calibri" w:eastAsia="Times New Roman" w:hAnsi="Calibri" w:cs="Calibri"/>
          <w:color w:val="000000"/>
        </w:rPr>
        <w:t>ce billing and surprise billing. M</w:t>
      </w:r>
      <w:r w:rsidRPr="0046605F">
        <w:rPr>
          <w:rFonts w:ascii="Calibri" w:eastAsia="Times New Roman" w:hAnsi="Calibri" w:cs="Calibri"/>
          <w:color w:val="000000"/>
        </w:rPr>
        <w:t>ainly</w:t>
      </w:r>
      <w:r w:rsidR="00875DE1">
        <w:rPr>
          <w:rFonts w:ascii="Calibri" w:eastAsia="Times New Roman" w:hAnsi="Calibri" w:cs="Calibri"/>
          <w:color w:val="000000"/>
        </w:rPr>
        <w:t xml:space="preserve">, </w:t>
      </w:r>
      <w:r w:rsidRPr="0046605F">
        <w:rPr>
          <w:rFonts w:ascii="Calibri" w:eastAsia="Times New Roman" w:hAnsi="Calibri" w:cs="Calibri"/>
          <w:color w:val="000000"/>
        </w:rPr>
        <w:t xml:space="preserve">surprise billing is </w:t>
      </w:r>
      <w:r w:rsidR="00875DE1">
        <w:rPr>
          <w:rFonts w:ascii="Calibri" w:eastAsia="Times New Roman" w:hAnsi="Calibri" w:cs="Calibri"/>
          <w:color w:val="000000"/>
        </w:rPr>
        <w:t>a defined term only used in</w:t>
      </w:r>
      <w:r w:rsidRPr="0046605F">
        <w:rPr>
          <w:rFonts w:ascii="Calibri" w:eastAsia="Times New Roman" w:hAnsi="Calibri" w:cs="Calibri"/>
          <w:color w:val="000000"/>
        </w:rPr>
        <w:t xml:space="preserve"> non-elective procedures.</w:t>
      </w:r>
    </w:p>
    <w:p w14:paraId="0C4D68F4" w14:textId="06AF9B68" w:rsidR="004B6CFC" w:rsidRPr="008312A6" w:rsidRDefault="00F86697" w:rsidP="00907058">
      <w:pPr>
        <w:pStyle w:val="ListParagraph"/>
        <w:numPr>
          <w:ilvl w:val="0"/>
          <w:numId w:val="4"/>
        </w:numPr>
        <w:shd w:val="clear" w:color="auto" w:fill="FFFFFF"/>
        <w:tabs>
          <w:tab w:val="left" w:pos="3960"/>
        </w:tabs>
        <w:spacing w:before="100" w:beforeAutospacing="1" w:after="240"/>
        <w:jc w:val="both"/>
        <w:rPr>
          <w:rFonts w:ascii="Calibri" w:eastAsia="Times New Roman" w:hAnsi="Calibri" w:cs="Calibri"/>
          <w:color w:val="000000"/>
        </w:rPr>
      </w:pPr>
      <w:r w:rsidRPr="00907058">
        <w:rPr>
          <w:rFonts w:ascii="Calibri" w:eastAsia="Times New Roman" w:hAnsi="Calibri" w:cs="Calibri"/>
          <w:color w:val="000000"/>
        </w:rPr>
        <w:t xml:space="preserve">Either </w:t>
      </w:r>
      <w:r w:rsidR="005C6E5C">
        <w:rPr>
          <w:rFonts w:ascii="Calibri" w:eastAsia="Times New Roman" w:hAnsi="Calibri" w:cs="Calibri"/>
          <w:color w:val="000000"/>
        </w:rPr>
        <w:t>p</w:t>
      </w:r>
      <w:r w:rsidRPr="00907058">
        <w:rPr>
          <w:rFonts w:ascii="Calibri" w:eastAsia="Times New Roman" w:hAnsi="Calibri" w:cs="Calibri"/>
          <w:color w:val="000000"/>
        </w:rPr>
        <w:t xml:space="preserve">arty is allowed to enter into independent dispute </w:t>
      </w:r>
      <w:r w:rsidR="00907058" w:rsidRPr="00907058">
        <w:rPr>
          <w:rFonts w:ascii="Calibri" w:eastAsia="Times New Roman" w:hAnsi="Calibri" w:cs="Calibri"/>
          <w:color w:val="000000"/>
        </w:rPr>
        <w:t xml:space="preserve">resolution which </w:t>
      </w:r>
      <w:r w:rsidRPr="008312A6">
        <w:rPr>
          <w:rFonts w:ascii="Calibri" w:eastAsia="Times New Roman" w:hAnsi="Calibri" w:cs="Calibri"/>
          <w:color w:val="000000"/>
        </w:rPr>
        <w:t xml:space="preserve">is based on </w:t>
      </w:r>
      <w:r w:rsidR="00DE2C81">
        <w:rPr>
          <w:rFonts w:ascii="Calibri" w:eastAsia="Times New Roman" w:hAnsi="Calibri" w:cs="Calibri"/>
          <w:color w:val="000000"/>
        </w:rPr>
        <w:t>8</w:t>
      </w:r>
      <w:r w:rsidRPr="008312A6">
        <w:rPr>
          <w:rFonts w:ascii="Calibri" w:eastAsia="Times New Roman" w:hAnsi="Calibri" w:cs="Calibri"/>
          <w:color w:val="000000"/>
        </w:rPr>
        <w:t xml:space="preserve"> factors</w:t>
      </w:r>
      <w:r w:rsidR="00907058">
        <w:rPr>
          <w:rFonts w:ascii="Calibri" w:eastAsia="Times New Roman" w:hAnsi="Calibri" w:cs="Calibri"/>
          <w:color w:val="000000"/>
        </w:rPr>
        <w:t>:</w:t>
      </w:r>
      <w:r w:rsidR="00FC1781">
        <w:rPr>
          <w:rFonts w:ascii="Calibri" w:eastAsia="Times New Roman" w:hAnsi="Calibri" w:cs="Calibri"/>
          <w:color w:val="000000"/>
        </w:rPr>
        <w:t xml:space="preserve"> </w:t>
      </w:r>
    </w:p>
    <w:p w14:paraId="10C001DB" w14:textId="77777777" w:rsidR="00F86697" w:rsidRPr="009E1F4D" w:rsidRDefault="00F86697" w:rsidP="009E1F4D">
      <w:pPr>
        <w:pStyle w:val="ListParagraph"/>
        <w:numPr>
          <w:ilvl w:val="1"/>
          <w:numId w:val="4"/>
        </w:numPr>
        <w:shd w:val="clear" w:color="auto" w:fill="FFFFFF"/>
        <w:tabs>
          <w:tab w:val="left" w:pos="3960"/>
        </w:tabs>
        <w:spacing w:before="100" w:beforeAutospacing="1" w:after="240"/>
        <w:jc w:val="both"/>
        <w:rPr>
          <w:rFonts w:ascii="Calibri" w:eastAsia="Times New Roman" w:hAnsi="Calibri" w:cs="Calibri"/>
          <w:color w:val="000000"/>
        </w:rPr>
      </w:pPr>
      <w:r w:rsidRPr="00F86697">
        <w:t xml:space="preserve"> </w:t>
      </w:r>
      <w:r w:rsidRPr="00F86697">
        <w:rPr>
          <w:rFonts w:ascii="Calibri" w:eastAsia="Times New Roman" w:hAnsi="Calibri" w:cs="Calibri"/>
          <w:color w:val="000000"/>
        </w:rPr>
        <w:t>(1) Whether there is a gross disparity between the fee charged by the</w:t>
      </w:r>
      <w:r w:rsidR="004B6CFC">
        <w:rPr>
          <w:rFonts w:ascii="Calibri" w:eastAsia="Times New Roman" w:hAnsi="Calibri" w:cs="Calibri"/>
          <w:color w:val="000000"/>
        </w:rPr>
        <w:t xml:space="preserve"> </w:t>
      </w:r>
      <w:r w:rsidRPr="009E1F4D">
        <w:rPr>
          <w:rFonts w:ascii="Calibri" w:eastAsia="Times New Roman" w:hAnsi="Calibri" w:cs="Calibri"/>
          <w:color w:val="000000"/>
        </w:rPr>
        <w:t>physician for services rendered as compared to:</w:t>
      </w:r>
    </w:p>
    <w:p w14:paraId="3113DE4A" w14:textId="19E99DBB" w:rsidR="004B6CFC"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lastRenderedPageBreak/>
        <w:t>(2) The level of training, education, and experience of the physician;</w:t>
      </w:r>
    </w:p>
    <w:p w14:paraId="62438B68" w14:textId="77777777" w:rsidR="00F86697" w:rsidRPr="009E1F4D"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9E1F4D">
        <w:rPr>
          <w:rFonts w:ascii="Calibri" w:eastAsia="Times New Roman" w:hAnsi="Calibri" w:cs="Calibri"/>
          <w:color w:val="000000"/>
        </w:rPr>
        <w:t>(3) The physician's usual charge for comparable services with regard to</w:t>
      </w:r>
      <w:r w:rsidR="004B6CFC">
        <w:rPr>
          <w:rFonts w:ascii="Calibri" w:eastAsia="Times New Roman" w:hAnsi="Calibri" w:cs="Calibri"/>
          <w:color w:val="000000"/>
        </w:rPr>
        <w:t xml:space="preserve"> </w:t>
      </w:r>
      <w:r w:rsidRPr="009E1F4D">
        <w:rPr>
          <w:rFonts w:ascii="Calibri" w:eastAsia="Times New Roman" w:hAnsi="Calibri" w:cs="Calibri"/>
          <w:color w:val="000000"/>
        </w:rPr>
        <w:t>patients covered by health carrier networks in which the physician is not</w:t>
      </w:r>
      <w:r w:rsidR="004B6CFC">
        <w:rPr>
          <w:rFonts w:ascii="Calibri" w:eastAsia="Times New Roman" w:hAnsi="Calibri" w:cs="Calibri"/>
          <w:color w:val="000000"/>
        </w:rPr>
        <w:t xml:space="preserve"> </w:t>
      </w:r>
      <w:r w:rsidRPr="009E1F4D">
        <w:rPr>
          <w:rFonts w:ascii="Calibri" w:eastAsia="Times New Roman" w:hAnsi="Calibri" w:cs="Calibri"/>
          <w:color w:val="000000"/>
        </w:rPr>
        <w:t>participating;</w:t>
      </w:r>
    </w:p>
    <w:p w14:paraId="5447FC68" w14:textId="77777777" w:rsidR="00F86697" w:rsidRPr="009E1F4D"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t>(4) The circumstances and complexity of the particular case, including</w:t>
      </w:r>
      <w:r w:rsidR="004B6CFC">
        <w:rPr>
          <w:rFonts w:ascii="Calibri" w:eastAsia="Times New Roman" w:hAnsi="Calibri" w:cs="Calibri"/>
          <w:color w:val="000000"/>
        </w:rPr>
        <w:t xml:space="preserve"> </w:t>
      </w:r>
      <w:r w:rsidRPr="009E1F4D">
        <w:rPr>
          <w:rFonts w:ascii="Calibri" w:eastAsia="Times New Roman" w:hAnsi="Calibri" w:cs="Calibri"/>
          <w:color w:val="000000"/>
        </w:rPr>
        <w:t>time and place of the service;</w:t>
      </w:r>
    </w:p>
    <w:p w14:paraId="68AB03A3" w14:textId="77777777" w:rsidR="00F86697" w:rsidRPr="00F86697"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t>(5) Individual patient characteristics;</w:t>
      </w:r>
    </w:p>
    <w:p w14:paraId="03B7669A" w14:textId="77777777" w:rsidR="00F86697" w:rsidRPr="00F86697"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t>(6) The usual and customary rate of the service;</w:t>
      </w:r>
    </w:p>
    <w:p w14:paraId="2DE7C204" w14:textId="3254C435" w:rsidR="00F86697" w:rsidRPr="009E1F4D"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t>(7) The fiftieth percentile of rates for the service or supply paid to</w:t>
      </w:r>
      <w:r w:rsidR="004B6CFC">
        <w:rPr>
          <w:rFonts w:ascii="Calibri" w:eastAsia="Times New Roman" w:hAnsi="Calibri" w:cs="Calibri"/>
          <w:color w:val="000000"/>
        </w:rPr>
        <w:t xml:space="preserve"> </w:t>
      </w:r>
      <w:r w:rsidRPr="009E1F4D">
        <w:rPr>
          <w:rFonts w:ascii="Calibri" w:eastAsia="Times New Roman" w:hAnsi="Calibri" w:cs="Calibri"/>
          <w:color w:val="000000"/>
        </w:rPr>
        <w:t>participating physicians in the same or similar</w:t>
      </w:r>
      <w:r w:rsidR="005C6E5C">
        <w:rPr>
          <w:rFonts w:ascii="Calibri" w:eastAsia="Times New Roman" w:hAnsi="Calibri" w:cs="Calibri"/>
          <w:color w:val="000000"/>
        </w:rPr>
        <w:t>;</w:t>
      </w:r>
      <w:r w:rsidRPr="009E1F4D">
        <w:rPr>
          <w:rFonts w:ascii="Calibri" w:eastAsia="Times New Roman" w:hAnsi="Calibri" w:cs="Calibri"/>
          <w:color w:val="000000"/>
        </w:rPr>
        <w:t xml:space="preserve"> </w:t>
      </w:r>
    </w:p>
    <w:p w14:paraId="2F0AE367" w14:textId="6C591957" w:rsidR="004B6CFC" w:rsidRDefault="00F86697" w:rsidP="009E1F4D">
      <w:pPr>
        <w:pStyle w:val="ListParagraph"/>
        <w:shd w:val="clear" w:color="auto" w:fill="FFFFFF"/>
        <w:tabs>
          <w:tab w:val="left" w:pos="3960"/>
        </w:tabs>
        <w:spacing w:before="100" w:beforeAutospacing="1" w:after="240"/>
        <w:ind w:left="1440"/>
        <w:jc w:val="both"/>
        <w:rPr>
          <w:rFonts w:ascii="Calibri" w:eastAsia="Times New Roman" w:hAnsi="Calibri" w:cs="Calibri"/>
          <w:color w:val="000000"/>
        </w:rPr>
      </w:pPr>
      <w:r w:rsidRPr="00F86697">
        <w:rPr>
          <w:rFonts w:ascii="Calibri" w:eastAsia="Times New Roman" w:hAnsi="Calibri" w:cs="Calibri"/>
          <w:color w:val="000000"/>
        </w:rPr>
        <w:t>(8) The recent history of network contracting between the parties.</w:t>
      </w:r>
    </w:p>
    <w:p w14:paraId="4FC2B8FD" w14:textId="0437C8F8" w:rsidR="00F86697" w:rsidRPr="00F86697" w:rsidRDefault="00FC1781" w:rsidP="00F86697">
      <w:pPr>
        <w:pStyle w:val="ListParagraph"/>
        <w:numPr>
          <w:ilvl w:val="0"/>
          <w:numId w:val="4"/>
        </w:numPr>
        <w:shd w:val="clear" w:color="auto" w:fill="FFFFFF"/>
        <w:tabs>
          <w:tab w:val="left" w:pos="3960"/>
        </w:tabs>
        <w:spacing w:before="100" w:beforeAutospacing="1" w:after="240"/>
        <w:jc w:val="both"/>
        <w:rPr>
          <w:rFonts w:ascii="Calibri" w:eastAsia="Times New Roman" w:hAnsi="Calibri" w:cs="Calibri"/>
          <w:color w:val="000000"/>
        </w:rPr>
      </w:pPr>
      <w:r>
        <w:rPr>
          <w:rFonts w:ascii="Calibri" w:eastAsia="Times New Roman" w:hAnsi="Calibri" w:cs="Calibri"/>
          <w:color w:val="000000"/>
        </w:rPr>
        <w:t xml:space="preserve">The </w:t>
      </w:r>
      <w:r w:rsidR="00F86697" w:rsidRPr="00F86697">
        <w:rPr>
          <w:rFonts w:ascii="Calibri" w:eastAsia="Times New Roman" w:hAnsi="Calibri" w:cs="Calibri"/>
          <w:color w:val="000000"/>
        </w:rPr>
        <w:t>independent dispute resolution entity shall not consider:</w:t>
      </w:r>
    </w:p>
    <w:p w14:paraId="7C3FA231" w14:textId="6E5C9FFD" w:rsidR="00F86697" w:rsidRPr="009E1F4D" w:rsidRDefault="004B6CFC" w:rsidP="009E1F4D">
      <w:pPr>
        <w:pStyle w:val="ListParagraph"/>
        <w:shd w:val="clear" w:color="auto" w:fill="FFFFFF"/>
        <w:tabs>
          <w:tab w:val="left" w:pos="3960"/>
        </w:tabs>
        <w:spacing w:before="100" w:beforeAutospacing="1" w:after="240"/>
        <w:ind w:left="720"/>
        <w:jc w:val="both"/>
        <w:rPr>
          <w:rFonts w:ascii="Calibri" w:eastAsia="Times New Roman" w:hAnsi="Calibri" w:cs="Calibri"/>
          <w:color w:val="000000"/>
        </w:rPr>
      </w:pPr>
      <w:r>
        <w:rPr>
          <w:rFonts w:ascii="Calibri" w:eastAsia="Times New Roman" w:hAnsi="Calibri" w:cs="Calibri"/>
          <w:color w:val="000000"/>
        </w:rPr>
        <w:t xml:space="preserve">               </w:t>
      </w:r>
      <w:r w:rsidR="00F86697" w:rsidRPr="00F86697">
        <w:rPr>
          <w:rFonts w:ascii="Calibri" w:eastAsia="Times New Roman" w:hAnsi="Calibri" w:cs="Calibri"/>
          <w:color w:val="000000"/>
        </w:rPr>
        <w:t xml:space="preserve">(1) Any benchmarking database that includes </w:t>
      </w:r>
      <w:r w:rsidR="00FC1781">
        <w:rPr>
          <w:rFonts w:ascii="Calibri" w:eastAsia="Times New Roman" w:hAnsi="Calibri" w:cs="Calibri"/>
          <w:color w:val="000000"/>
        </w:rPr>
        <w:t>M</w:t>
      </w:r>
      <w:r w:rsidR="00F86697" w:rsidRPr="00F86697">
        <w:rPr>
          <w:rFonts w:ascii="Calibri" w:eastAsia="Times New Roman" w:hAnsi="Calibri" w:cs="Calibri"/>
          <w:color w:val="000000"/>
        </w:rPr>
        <w:t xml:space="preserve">edicare or </w:t>
      </w:r>
      <w:r>
        <w:rPr>
          <w:rFonts w:ascii="Calibri" w:eastAsia="Times New Roman" w:hAnsi="Calibri" w:cs="Calibri"/>
          <w:color w:val="000000"/>
        </w:rPr>
        <w:t xml:space="preserve">Medicaid </w:t>
      </w:r>
      <w:r w:rsidR="00F86697" w:rsidRPr="009E1F4D">
        <w:rPr>
          <w:rFonts w:ascii="Calibri" w:eastAsia="Times New Roman" w:hAnsi="Calibri" w:cs="Calibri"/>
          <w:color w:val="000000"/>
        </w:rPr>
        <w:t>reimbursement rates; or</w:t>
      </w:r>
    </w:p>
    <w:p w14:paraId="59AA2938" w14:textId="78F804B6" w:rsidR="00F86697" w:rsidRPr="009E1F4D" w:rsidRDefault="004B6CFC" w:rsidP="008312A6">
      <w:pPr>
        <w:pStyle w:val="ListParagraph"/>
        <w:shd w:val="clear" w:color="auto" w:fill="FFFFFF"/>
        <w:tabs>
          <w:tab w:val="left" w:pos="3960"/>
        </w:tabs>
        <w:spacing w:before="100" w:beforeAutospacing="1" w:after="240"/>
        <w:ind w:left="720"/>
        <w:jc w:val="both"/>
        <w:rPr>
          <w:rFonts w:ascii="Calibri" w:eastAsia="Times New Roman" w:hAnsi="Calibri" w:cs="Calibri"/>
          <w:color w:val="000000"/>
        </w:rPr>
      </w:pPr>
      <w:r>
        <w:rPr>
          <w:rFonts w:ascii="Calibri" w:eastAsia="Times New Roman" w:hAnsi="Calibri" w:cs="Calibri"/>
          <w:color w:val="000000"/>
        </w:rPr>
        <w:t xml:space="preserve">               </w:t>
      </w:r>
      <w:r w:rsidR="00F86697" w:rsidRPr="00F86697">
        <w:rPr>
          <w:rFonts w:ascii="Calibri" w:eastAsia="Times New Roman" w:hAnsi="Calibri" w:cs="Calibri"/>
          <w:color w:val="000000"/>
        </w:rPr>
        <w:t xml:space="preserve">(2) Medicare or </w:t>
      </w:r>
      <w:r w:rsidR="00DE2C81">
        <w:rPr>
          <w:rFonts w:ascii="Calibri" w:eastAsia="Times New Roman" w:hAnsi="Calibri" w:cs="Calibri"/>
          <w:color w:val="000000"/>
        </w:rPr>
        <w:t>M</w:t>
      </w:r>
      <w:r w:rsidR="008312A6">
        <w:rPr>
          <w:rFonts w:ascii="Calibri" w:eastAsia="Times New Roman" w:hAnsi="Calibri" w:cs="Calibri"/>
          <w:color w:val="000000"/>
        </w:rPr>
        <w:t>edicaid reimbursement rates</w:t>
      </w:r>
      <w:r w:rsidR="005C6E5C">
        <w:rPr>
          <w:rFonts w:ascii="Calibri" w:eastAsia="Times New Roman" w:hAnsi="Calibri" w:cs="Calibri"/>
          <w:color w:val="000000"/>
        </w:rPr>
        <w:t>.</w:t>
      </w:r>
      <w:bookmarkStart w:id="0" w:name="_GoBack"/>
      <w:bookmarkEnd w:id="0"/>
    </w:p>
    <w:p w14:paraId="6FFC37C9" w14:textId="3C4F53CE" w:rsidR="00907C9A" w:rsidRPr="0046605F" w:rsidRDefault="00FC1781" w:rsidP="007B09A9">
      <w:pPr>
        <w:pStyle w:val="ListParagraph"/>
        <w:numPr>
          <w:ilvl w:val="0"/>
          <w:numId w:val="4"/>
        </w:numPr>
        <w:shd w:val="clear" w:color="auto" w:fill="FFFFFF"/>
        <w:tabs>
          <w:tab w:val="left" w:pos="3960"/>
        </w:tabs>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xml:space="preserve">The legislation </w:t>
      </w:r>
      <w:r w:rsidR="00B1121F" w:rsidRPr="0046605F">
        <w:rPr>
          <w:rFonts w:ascii="Calibri" w:eastAsia="Times New Roman" w:hAnsi="Calibri" w:cs="Calibri"/>
          <w:color w:val="000000"/>
        </w:rPr>
        <w:t>would only apply to services rendered by physicians who are out of network</w:t>
      </w:r>
      <w:r w:rsidR="00D529D9">
        <w:rPr>
          <w:rFonts w:ascii="Calibri" w:eastAsia="Times New Roman" w:hAnsi="Calibri" w:cs="Calibri"/>
          <w:color w:val="000000"/>
        </w:rPr>
        <w:t>, and by definition, does not include hospitals.</w:t>
      </w:r>
    </w:p>
    <w:sectPr w:rsidR="00907C9A" w:rsidRPr="0046605F" w:rsidSect="00F057CA">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E52" w16cex:dateUtc="2021-01-27T16:26:00Z"/>
  <w16cex:commentExtensible w16cex:durableId="23BBBEB0" w16cex:dateUtc="2021-01-27T16:28:00Z"/>
  <w16cex:commentExtensible w16cex:durableId="23BBBF78" w16cex:dateUtc="2021-01-27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8C386E" w16cid:durableId="23BBBE52"/>
  <w16cid:commentId w16cid:paraId="0D5C9C7D" w16cid:durableId="23BBBEB0"/>
  <w16cid:commentId w16cid:paraId="1C169FCC" w16cid:durableId="23BBBF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1DB9" w14:textId="77777777" w:rsidR="00970795" w:rsidRDefault="00970795" w:rsidP="008B4B19">
      <w:pPr>
        <w:spacing w:after="0"/>
      </w:pPr>
      <w:r>
        <w:separator/>
      </w:r>
    </w:p>
  </w:endnote>
  <w:endnote w:type="continuationSeparator" w:id="0">
    <w:p w14:paraId="7F7F1CE2" w14:textId="77777777" w:rsidR="00970795" w:rsidRDefault="00970795" w:rsidP="008B4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7BE2" w14:textId="77777777" w:rsidR="00970795" w:rsidRDefault="00970795" w:rsidP="008B4B19">
      <w:pPr>
        <w:spacing w:after="0"/>
      </w:pPr>
      <w:r>
        <w:separator/>
      </w:r>
    </w:p>
  </w:footnote>
  <w:footnote w:type="continuationSeparator" w:id="0">
    <w:p w14:paraId="2B8ABD2F" w14:textId="77777777" w:rsidR="00970795" w:rsidRDefault="00970795" w:rsidP="008B4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1E6F" w14:textId="77777777" w:rsidR="008B4B19" w:rsidRDefault="00C7773B" w:rsidP="00F057CA">
    <w:pPr>
      <w:pStyle w:val="Header"/>
      <w:jc w:val="left"/>
    </w:pPr>
    <w:r>
      <w:rPr>
        <w:noProof/>
      </w:rPr>
      <w:drawing>
        <wp:inline distT="0" distB="0" distL="0" distR="0" wp14:anchorId="3F7CC021" wp14:editId="2FE3835D">
          <wp:extent cx="4505325" cy="12007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D05"/>
    <w:multiLevelType w:val="hybridMultilevel"/>
    <w:tmpl w:val="51AA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3C1F"/>
    <w:multiLevelType w:val="multilevel"/>
    <w:tmpl w:val="7BAC1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E6D04"/>
    <w:multiLevelType w:val="hybridMultilevel"/>
    <w:tmpl w:val="3BDA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47ED8"/>
    <w:multiLevelType w:val="hybridMultilevel"/>
    <w:tmpl w:val="F5FC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TM0MzMyMjIwNLdU0lEKTi0uzszPAykwrAUAJw/lPiwAAAA="/>
  </w:docVars>
  <w:rsids>
    <w:rsidRoot w:val="003D5332"/>
    <w:rsid w:val="0004609F"/>
    <w:rsid w:val="000658DB"/>
    <w:rsid w:val="000811AD"/>
    <w:rsid w:val="000D2D65"/>
    <w:rsid w:val="001470CD"/>
    <w:rsid w:val="0015186E"/>
    <w:rsid w:val="001B29BB"/>
    <w:rsid w:val="001B2F67"/>
    <w:rsid w:val="002C5E4B"/>
    <w:rsid w:val="003274A2"/>
    <w:rsid w:val="003333F6"/>
    <w:rsid w:val="003A352B"/>
    <w:rsid w:val="003D5332"/>
    <w:rsid w:val="004016F7"/>
    <w:rsid w:val="00420941"/>
    <w:rsid w:val="00451230"/>
    <w:rsid w:val="0046605F"/>
    <w:rsid w:val="00472FAE"/>
    <w:rsid w:val="00477A51"/>
    <w:rsid w:val="004A32B7"/>
    <w:rsid w:val="004A4E1F"/>
    <w:rsid w:val="004B6CFC"/>
    <w:rsid w:val="004E17A0"/>
    <w:rsid w:val="004E52B5"/>
    <w:rsid w:val="004E7858"/>
    <w:rsid w:val="00502CF4"/>
    <w:rsid w:val="00515F63"/>
    <w:rsid w:val="005C6E5C"/>
    <w:rsid w:val="005D4BCB"/>
    <w:rsid w:val="005F4B44"/>
    <w:rsid w:val="005F7D42"/>
    <w:rsid w:val="00655751"/>
    <w:rsid w:val="006D1144"/>
    <w:rsid w:val="006E3C7D"/>
    <w:rsid w:val="007430D8"/>
    <w:rsid w:val="00770230"/>
    <w:rsid w:val="007A59B1"/>
    <w:rsid w:val="007B09A9"/>
    <w:rsid w:val="007D1ACB"/>
    <w:rsid w:val="007D5FAA"/>
    <w:rsid w:val="007F3B78"/>
    <w:rsid w:val="008312A6"/>
    <w:rsid w:val="00875DE1"/>
    <w:rsid w:val="008A2EE5"/>
    <w:rsid w:val="008B4B19"/>
    <w:rsid w:val="00907058"/>
    <w:rsid w:val="00907C9A"/>
    <w:rsid w:val="00934514"/>
    <w:rsid w:val="00970795"/>
    <w:rsid w:val="00982ED7"/>
    <w:rsid w:val="009841F9"/>
    <w:rsid w:val="00997492"/>
    <w:rsid w:val="009E1F4D"/>
    <w:rsid w:val="00A10CEB"/>
    <w:rsid w:val="00A33519"/>
    <w:rsid w:val="00A55C11"/>
    <w:rsid w:val="00A964F3"/>
    <w:rsid w:val="00B1121F"/>
    <w:rsid w:val="00B3102C"/>
    <w:rsid w:val="00B56132"/>
    <w:rsid w:val="00BB53A6"/>
    <w:rsid w:val="00BF28CA"/>
    <w:rsid w:val="00C1550F"/>
    <w:rsid w:val="00C23280"/>
    <w:rsid w:val="00C7773B"/>
    <w:rsid w:val="00C95ACB"/>
    <w:rsid w:val="00CA1E79"/>
    <w:rsid w:val="00D2601F"/>
    <w:rsid w:val="00D4518D"/>
    <w:rsid w:val="00D529D9"/>
    <w:rsid w:val="00D52D2C"/>
    <w:rsid w:val="00D67FB2"/>
    <w:rsid w:val="00DA775C"/>
    <w:rsid w:val="00DE2C81"/>
    <w:rsid w:val="00E57C61"/>
    <w:rsid w:val="00E92DAA"/>
    <w:rsid w:val="00F057CA"/>
    <w:rsid w:val="00F44977"/>
    <w:rsid w:val="00F86697"/>
    <w:rsid w:val="00FC17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01CAF"/>
  <w15:chartTrackingRefBased/>
  <w15:docId w15:val="{6C4F81A8-3871-45A8-81B2-F6042774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32"/>
    <w:pPr>
      <w:widowControl w:val="0"/>
      <w:spacing w:after="0"/>
      <w:jc w:val="left"/>
    </w:pPr>
  </w:style>
  <w:style w:type="paragraph" w:customStyle="1" w:styleId="Normal1">
    <w:name w:val="Normal1"/>
    <w:rsid w:val="003D5332"/>
    <w:pPr>
      <w:pBdr>
        <w:top w:val="nil"/>
        <w:left w:val="nil"/>
        <w:bottom w:val="nil"/>
        <w:right w:val="nil"/>
        <w:between w:val="nil"/>
      </w:pBdr>
      <w:spacing w:line="259" w:lineRule="auto"/>
      <w:jc w:val="left"/>
    </w:pPr>
    <w:rPr>
      <w:rFonts w:ascii="Calibri" w:eastAsia="Calibri" w:hAnsi="Calibri" w:cs="Calibri"/>
      <w:color w:val="000000"/>
    </w:rPr>
  </w:style>
  <w:style w:type="paragraph" w:styleId="BalloonText">
    <w:name w:val="Balloon Text"/>
    <w:basedOn w:val="Normal"/>
    <w:link w:val="BalloonTextChar"/>
    <w:uiPriority w:val="99"/>
    <w:semiHidden/>
    <w:unhideWhenUsed/>
    <w:rsid w:val="008B4B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19"/>
    <w:rPr>
      <w:rFonts w:ascii="Segoe UI" w:hAnsi="Segoe UI" w:cs="Segoe UI"/>
      <w:sz w:val="18"/>
      <w:szCs w:val="18"/>
    </w:rPr>
  </w:style>
  <w:style w:type="paragraph" w:styleId="Header">
    <w:name w:val="header"/>
    <w:basedOn w:val="Normal"/>
    <w:link w:val="HeaderChar"/>
    <w:uiPriority w:val="99"/>
    <w:unhideWhenUsed/>
    <w:rsid w:val="008B4B19"/>
    <w:pPr>
      <w:tabs>
        <w:tab w:val="center" w:pos="4680"/>
        <w:tab w:val="right" w:pos="9360"/>
      </w:tabs>
      <w:spacing w:after="0"/>
    </w:pPr>
  </w:style>
  <w:style w:type="character" w:customStyle="1" w:styleId="HeaderChar">
    <w:name w:val="Header Char"/>
    <w:basedOn w:val="DefaultParagraphFont"/>
    <w:link w:val="Header"/>
    <w:uiPriority w:val="99"/>
    <w:rsid w:val="008B4B19"/>
  </w:style>
  <w:style w:type="paragraph" w:styleId="Footer">
    <w:name w:val="footer"/>
    <w:basedOn w:val="Normal"/>
    <w:link w:val="FooterChar"/>
    <w:uiPriority w:val="99"/>
    <w:unhideWhenUsed/>
    <w:rsid w:val="008B4B19"/>
    <w:pPr>
      <w:tabs>
        <w:tab w:val="center" w:pos="4680"/>
        <w:tab w:val="right" w:pos="9360"/>
      </w:tabs>
      <w:spacing w:after="0"/>
    </w:pPr>
  </w:style>
  <w:style w:type="character" w:customStyle="1" w:styleId="FooterChar">
    <w:name w:val="Footer Char"/>
    <w:basedOn w:val="DefaultParagraphFont"/>
    <w:link w:val="Footer"/>
    <w:uiPriority w:val="99"/>
    <w:rsid w:val="008B4B19"/>
  </w:style>
  <w:style w:type="character" w:styleId="CommentReference">
    <w:name w:val="annotation reference"/>
    <w:basedOn w:val="DefaultParagraphFont"/>
    <w:uiPriority w:val="99"/>
    <w:semiHidden/>
    <w:unhideWhenUsed/>
    <w:rsid w:val="00997492"/>
    <w:rPr>
      <w:sz w:val="16"/>
      <w:szCs w:val="16"/>
    </w:rPr>
  </w:style>
  <w:style w:type="paragraph" w:styleId="CommentText">
    <w:name w:val="annotation text"/>
    <w:basedOn w:val="Normal"/>
    <w:link w:val="CommentTextChar"/>
    <w:uiPriority w:val="99"/>
    <w:semiHidden/>
    <w:unhideWhenUsed/>
    <w:rsid w:val="00997492"/>
    <w:rPr>
      <w:sz w:val="20"/>
      <w:szCs w:val="20"/>
    </w:rPr>
  </w:style>
  <w:style w:type="character" w:customStyle="1" w:styleId="CommentTextChar">
    <w:name w:val="Comment Text Char"/>
    <w:basedOn w:val="DefaultParagraphFont"/>
    <w:link w:val="CommentText"/>
    <w:uiPriority w:val="99"/>
    <w:semiHidden/>
    <w:rsid w:val="00997492"/>
    <w:rPr>
      <w:sz w:val="20"/>
      <w:szCs w:val="20"/>
    </w:rPr>
  </w:style>
  <w:style w:type="paragraph" w:styleId="CommentSubject">
    <w:name w:val="annotation subject"/>
    <w:basedOn w:val="CommentText"/>
    <w:next w:val="CommentText"/>
    <w:link w:val="CommentSubjectChar"/>
    <w:uiPriority w:val="99"/>
    <w:semiHidden/>
    <w:unhideWhenUsed/>
    <w:rsid w:val="00997492"/>
    <w:rPr>
      <w:b/>
      <w:bCs/>
    </w:rPr>
  </w:style>
  <w:style w:type="character" w:customStyle="1" w:styleId="CommentSubjectChar">
    <w:name w:val="Comment Subject Char"/>
    <w:basedOn w:val="CommentTextChar"/>
    <w:link w:val="CommentSubject"/>
    <w:uiPriority w:val="99"/>
    <w:semiHidden/>
    <w:rsid w:val="00997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421">
      <w:bodyDiv w:val="1"/>
      <w:marLeft w:val="0"/>
      <w:marRight w:val="0"/>
      <w:marTop w:val="0"/>
      <w:marBottom w:val="0"/>
      <w:divBdr>
        <w:top w:val="none" w:sz="0" w:space="0" w:color="auto"/>
        <w:left w:val="none" w:sz="0" w:space="0" w:color="auto"/>
        <w:bottom w:val="none" w:sz="0" w:space="0" w:color="auto"/>
        <w:right w:val="none" w:sz="0" w:space="0" w:color="auto"/>
      </w:divBdr>
    </w:div>
    <w:div w:id="2322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9439-8EED-44B3-A4BB-A0EF058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Yarnell Beatty</dc:creator>
  <cp:keywords/>
  <dc:description/>
  <cp:lastModifiedBy>Yarnell Beatty</cp:lastModifiedBy>
  <cp:revision>9</cp:revision>
  <cp:lastPrinted>2018-02-23T16:15:00Z</cp:lastPrinted>
  <dcterms:created xsi:type="dcterms:W3CDTF">2021-01-27T21:10:00Z</dcterms:created>
  <dcterms:modified xsi:type="dcterms:W3CDTF">2021-01-27T21:53:00Z</dcterms:modified>
</cp:coreProperties>
</file>