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09BE" w14:textId="70F1BD28" w:rsidR="00EC5DF5" w:rsidRPr="006E57F1" w:rsidRDefault="006E57F1" w:rsidP="006E57F1">
      <w:pPr>
        <w:jc w:val="center"/>
        <w:rPr>
          <w:rFonts w:ascii="Calibri" w:hAnsi="Calibri" w:cs="Calibri"/>
          <w:b/>
          <w:sz w:val="28"/>
        </w:rPr>
      </w:pPr>
      <w:r w:rsidRPr="006E57F1">
        <w:rPr>
          <w:rFonts w:ascii="Calibri" w:hAnsi="Calibri" w:cs="Calibri"/>
          <w:b/>
          <w:sz w:val="28"/>
        </w:rPr>
        <w:t xml:space="preserve">The way </w:t>
      </w:r>
      <w:r w:rsidR="00EC5DF5" w:rsidRPr="006E57F1">
        <w:rPr>
          <w:rFonts w:ascii="Calibri" w:hAnsi="Calibri" w:cs="Calibri"/>
          <w:b/>
          <w:sz w:val="28"/>
        </w:rPr>
        <w:t xml:space="preserve">Tennessee funds schools </w:t>
      </w:r>
      <w:r w:rsidRPr="006E57F1">
        <w:rPr>
          <w:rFonts w:ascii="Calibri" w:hAnsi="Calibri" w:cs="Calibri"/>
          <w:b/>
          <w:sz w:val="28"/>
        </w:rPr>
        <w:t xml:space="preserve">- </w:t>
      </w:r>
      <w:r w:rsidR="00EC5DF5" w:rsidRPr="006E57F1">
        <w:rPr>
          <w:rFonts w:ascii="Calibri" w:hAnsi="Calibri" w:cs="Calibri"/>
          <w:b/>
          <w:sz w:val="28"/>
        </w:rPr>
        <w:t>hurts students with disabilities</w:t>
      </w:r>
    </w:p>
    <w:p w14:paraId="407282CF" w14:textId="77777777" w:rsidR="00EC5DF5" w:rsidRPr="00EC5DF5" w:rsidRDefault="00EC5DF5" w:rsidP="00EC5DF5">
      <w:pPr>
        <w:rPr>
          <w:rFonts w:ascii="Calibri" w:hAnsi="Calibri" w:cs="Calibri"/>
        </w:rPr>
      </w:pPr>
    </w:p>
    <w:p w14:paraId="04110F4D" w14:textId="680ED799" w:rsidR="00EC5DF5" w:rsidRPr="00EC5DF5" w:rsidRDefault="00EC5DF5" w:rsidP="00EC5DF5">
      <w:pPr>
        <w:rPr>
          <w:rFonts w:ascii="Calibri" w:hAnsi="Calibri" w:cs="Calibri"/>
        </w:rPr>
      </w:pPr>
      <w:r w:rsidRPr="00EC5DF5">
        <w:rPr>
          <w:rFonts w:ascii="Calibri" w:hAnsi="Calibri" w:cs="Calibri"/>
        </w:rPr>
        <w:t>Tennessee uses a funding formula called the Basic Education Plan (BEP) to determine how much money each district and school gets for its operating costs. The BEP is a complex funding mechanism</w:t>
      </w:r>
      <w:r>
        <w:rPr>
          <w:rFonts w:ascii="Calibri" w:hAnsi="Calibri" w:cs="Calibri"/>
        </w:rPr>
        <w:t xml:space="preserve"> </w:t>
      </w:r>
      <w:r w:rsidRPr="00EC5DF5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results in unequal funding and poor outcomes for Tennessee students.</w:t>
      </w:r>
      <w:r w:rsidRPr="00EC5DF5">
        <w:rPr>
          <w:rFonts w:ascii="Calibri" w:hAnsi="Calibri" w:cs="Calibri"/>
        </w:rPr>
        <w:t xml:space="preserve"> Tennessee schools ranked 43rd in the country in spending</w:t>
      </w:r>
      <w:r w:rsidR="006E57F1">
        <w:rPr>
          <w:rFonts w:ascii="Calibri" w:hAnsi="Calibri" w:cs="Calibri"/>
        </w:rPr>
        <w:t>,</w:t>
      </w:r>
      <w:r w:rsidRPr="00EC5DF5">
        <w:rPr>
          <w:rFonts w:ascii="Calibri" w:hAnsi="Calibri" w:cs="Calibri"/>
        </w:rPr>
        <w:t xml:space="preserve"> ranked 35th in educational outcomes and 38th in graduation rates. </w:t>
      </w:r>
    </w:p>
    <w:p w14:paraId="1D84B71F" w14:textId="77777777" w:rsidR="00EC5DF5" w:rsidRPr="00EC5DF5" w:rsidRDefault="00EC5DF5" w:rsidP="00EC5DF5">
      <w:pPr>
        <w:rPr>
          <w:rFonts w:ascii="Calibri" w:hAnsi="Calibri" w:cs="Calibri"/>
        </w:rPr>
      </w:pPr>
    </w:p>
    <w:p w14:paraId="0771D1F1" w14:textId="090B50A4" w:rsidR="00EC5DF5" w:rsidRDefault="00EC5DF5" w:rsidP="00EC5DF5">
      <w:pPr>
        <w:rPr>
          <w:rFonts w:ascii="Calibri" w:hAnsi="Calibri" w:cs="Calibri"/>
        </w:rPr>
      </w:pPr>
      <w:r w:rsidRPr="00EC5DF5">
        <w:rPr>
          <w:rFonts w:ascii="Calibri" w:hAnsi="Calibri" w:cs="Calibri"/>
        </w:rPr>
        <w:t xml:space="preserve">It’s worse for students with disabilities - the US Department of Education </w:t>
      </w:r>
      <w:r>
        <w:rPr>
          <w:rFonts w:ascii="Calibri" w:hAnsi="Calibri" w:cs="Calibri"/>
        </w:rPr>
        <w:t xml:space="preserve">has </w:t>
      </w:r>
      <w:r w:rsidRPr="00EC5DF5">
        <w:rPr>
          <w:rFonts w:ascii="Calibri" w:hAnsi="Calibri" w:cs="Calibri"/>
        </w:rPr>
        <w:t>deemed Tennessee’s implementation of the Individuals with Disabilities Act (IDEA) as below the acceptability threshold</w:t>
      </w:r>
      <w:r>
        <w:rPr>
          <w:rFonts w:ascii="Calibri" w:hAnsi="Calibri" w:cs="Calibri"/>
        </w:rPr>
        <w:t>.</w:t>
      </w:r>
      <w:r w:rsidRPr="00EC5DF5">
        <w:rPr>
          <w:rFonts w:ascii="Calibri" w:hAnsi="Calibri" w:cs="Calibri"/>
        </w:rPr>
        <w:t xml:space="preserve"> Tennessee students with </w:t>
      </w:r>
      <w:r>
        <w:rPr>
          <w:rFonts w:ascii="Calibri" w:hAnsi="Calibri" w:cs="Calibri"/>
        </w:rPr>
        <w:t>Individualized Education Programs (</w:t>
      </w:r>
      <w:r w:rsidRPr="00EC5DF5">
        <w:rPr>
          <w:rFonts w:ascii="Calibri" w:hAnsi="Calibri" w:cs="Calibri"/>
        </w:rPr>
        <w:t>IEPs</w:t>
      </w:r>
      <w:r>
        <w:rPr>
          <w:rFonts w:ascii="Calibri" w:hAnsi="Calibri" w:cs="Calibri"/>
        </w:rPr>
        <w:t>)</w:t>
      </w:r>
      <w:r w:rsidRPr="00EC5DF5">
        <w:rPr>
          <w:rFonts w:ascii="Calibri" w:hAnsi="Calibri" w:cs="Calibri"/>
        </w:rPr>
        <w:t xml:space="preserve"> graduate at a rate 17 percentage points behind their peers. </w:t>
      </w:r>
    </w:p>
    <w:p w14:paraId="12216598" w14:textId="77777777" w:rsidR="00EC5DF5" w:rsidRPr="00EC5DF5" w:rsidRDefault="00EC5DF5" w:rsidP="00EC5DF5">
      <w:pPr>
        <w:rPr>
          <w:rFonts w:ascii="Calibri" w:hAnsi="Calibri" w:cs="Calibri"/>
        </w:rPr>
      </w:pPr>
    </w:p>
    <w:p w14:paraId="348FCE70" w14:textId="77777777" w:rsidR="00EC5DF5" w:rsidRPr="00EC5DF5" w:rsidRDefault="0004711D" w:rsidP="00EC5DF5">
      <w:pPr>
        <w:rPr>
          <w:rFonts w:ascii="Calibri" w:hAnsi="Calibri" w:cs="Calibri"/>
          <w:b/>
        </w:rPr>
      </w:pPr>
      <w:hyperlink r:id="rId8">
        <w:r w:rsidR="00EC5DF5" w:rsidRPr="00EC5DF5">
          <w:rPr>
            <w:rFonts w:ascii="Calibri" w:hAnsi="Calibri" w:cs="Calibri"/>
            <w:b/>
            <w:color w:val="1155CC"/>
            <w:u w:val="single"/>
          </w:rPr>
          <w:t>How the funding formula works:</w:t>
        </w:r>
      </w:hyperlink>
    </w:p>
    <w:p w14:paraId="0BEF67E5" w14:textId="77777777" w:rsidR="00EC5DF5" w:rsidRPr="00EC5DF5" w:rsidRDefault="00EC5DF5" w:rsidP="00EC5DF5">
      <w:pPr>
        <w:numPr>
          <w:ilvl w:val="0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Schools are assigned a number of “positions” to be funded based on the enrollment and actual attendance of the school for the previous year</w:t>
      </w:r>
    </w:p>
    <w:p w14:paraId="7A71816C" w14:textId="7A157BA7" w:rsidR="00EC5DF5" w:rsidRPr="00EC5DF5" w:rsidRDefault="00EC5DF5" w:rsidP="00EC5DF5">
      <w:pPr>
        <w:numPr>
          <w:ilvl w:val="0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Each position is assigned a “salary unit cost</w:t>
      </w:r>
      <w:r>
        <w:rPr>
          <w:rFonts w:ascii="Calibri" w:hAnsi="Calibri" w:cs="Calibri"/>
        </w:rPr>
        <w:t>,</w:t>
      </w:r>
      <w:r w:rsidRPr="00EC5DF5">
        <w:rPr>
          <w:rFonts w:ascii="Calibri" w:hAnsi="Calibri" w:cs="Calibri"/>
        </w:rPr>
        <w:t>” or the amount that the state will provide to the district and school to pay for each position</w:t>
      </w:r>
    </w:p>
    <w:p w14:paraId="6F7F0624" w14:textId="77777777" w:rsidR="00EC5DF5" w:rsidRPr="00EC5DF5" w:rsidRDefault="00EC5DF5" w:rsidP="00EC5DF5">
      <w:pPr>
        <w:numPr>
          <w:ilvl w:val="1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In 2017, a teacher position was worth a little over $44,000</w:t>
      </w:r>
    </w:p>
    <w:p w14:paraId="771B814B" w14:textId="1C7202B8" w:rsidR="00EC5DF5" w:rsidRPr="00EC5DF5" w:rsidRDefault="00EC5DF5" w:rsidP="00EC5DF5">
      <w:pPr>
        <w:numPr>
          <w:ilvl w:val="2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price tag doesn’t account for variables in teacher salary - a teacher who has taught for 40 years likely earns more, and a new teacher likely earns less</w:t>
      </w:r>
    </w:p>
    <w:p w14:paraId="753C21F0" w14:textId="77777777" w:rsidR="00EC5DF5" w:rsidRPr="00EC5DF5" w:rsidRDefault="00EC5DF5" w:rsidP="00EC5DF5">
      <w:pPr>
        <w:numPr>
          <w:ilvl w:val="2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has implications for the quality of a school teaching staff - it incentivizes schools to hire teachers that are less experienced, and thus, less expensive</w:t>
      </w:r>
    </w:p>
    <w:p w14:paraId="1EEEF298" w14:textId="19CA0F1B" w:rsidR="00EC5DF5" w:rsidRPr="00EC5DF5" w:rsidRDefault="00EC5DF5" w:rsidP="00EC5DF5">
      <w:pPr>
        <w:numPr>
          <w:ilvl w:val="1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Other positions have similarly assigned “salary unit costs” - this includes special education assistants, behavioral interventionists, speech-language pathologists, counselors and social workers</w:t>
      </w:r>
    </w:p>
    <w:p w14:paraId="4FDD752E" w14:textId="533BD167" w:rsidR="00EC5DF5" w:rsidRPr="00EC5DF5" w:rsidRDefault="00EC5DF5" w:rsidP="00EC5DF5">
      <w:pPr>
        <w:numPr>
          <w:ilvl w:val="0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 xml:space="preserve">Based on the previous year’s enrollment, the “salary unit costs” are added up and pooled into a pot that is then available to spend </w:t>
      </w:r>
    </w:p>
    <w:p w14:paraId="7DE535E1" w14:textId="1BD5D85D" w:rsidR="00EC5DF5" w:rsidRPr="00EC5DF5" w:rsidRDefault="00EC5DF5" w:rsidP="00EC5DF5">
      <w:pPr>
        <w:numPr>
          <w:ilvl w:val="1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means a school can determine that they want smaller class sizes and invest more of their pooled money into teachers (at the expense of other positions or investments)</w:t>
      </w:r>
    </w:p>
    <w:p w14:paraId="5D510693" w14:textId="77777777" w:rsidR="00EC5DF5" w:rsidRPr="00EC5DF5" w:rsidRDefault="00EC5DF5" w:rsidP="00EC5DF5">
      <w:pPr>
        <w:numPr>
          <w:ilvl w:val="0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money is divided into 4 broad buckets for spending - instructional salaries, instructional benefits, classroom costs and non-classroom costs</w:t>
      </w:r>
    </w:p>
    <w:p w14:paraId="39131712" w14:textId="02A808F3" w:rsidR="00EC5DF5" w:rsidRPr="00EC5DF5" w:rsidRDefault="00EC5DF5" w:rsidP="00EC5DF5">
      <w:pPr>
        <w:numPr>
          <w:ilvl w:val="0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Most local school districts supplement the BEP funding with local funds (through taxes, or other means)</w:t>
      </w:r>
    </w:p>
    <w:p w14:paraId="2C68CF1A" w14:textId="77777777" w:rsidR="00EC5DF5" w:rsidRPr="00EC5DF5" w:rsidRDefault="00EC5DF5" w:rsidP="00EC5DF5">
      <w:pPr>
        <w:numPr>
          <w:ilvl w:val="1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In 2015-2016, the BEP funded 63,131 instructional staff across the state, but local districts collectively employed 73,848 instructional staff - meaning that local taxes paid for an additional 10,000 plus teachers</w:t>
      </w:r>
    </w:p>
    <w:p w14:paraId="4BDDEFD0" w14:textId="77777777" w:rsidR="00EC5DF5" w:rsidRPr="00EC5DF5" w:rsidRDefault="00EC5DF5" w:rsidP="00EC5DF5">
      <w:pPr>
        <w:numPr>
          <w:ilvl w:val="2"/>
          <w:numId w:val="3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 xml:space="preserve">This indicates that the funding formula is not accurate for local school needs </w:t>
      </w:r>
    </w:p>
    <w:p w14:paraId="63C37C2A" w14:textId="77777777" w:rsidR="00BB09F7" w:rsidRDefault="00BB09F7" w:rsidP="00EC5DF5">
      <w:pPr>
        <w:rPr>
          <w:rFonts w:ascii="Calibri" w:hAnsi="Calibri" w:cs="Calibri"/>
          <w:b/>
        </w:rPr>
      </w:pPr>
    </w:p>
    <w:p w14:paraId="23034859" w14:textId="77777777" w:rsidR="00677A97" w:rsidRDefault="00677A97" w:rsidP="00EC5DF5">
      <w:pPr>
        <w:rPr>
          <w:rFonts w:ascii="Calibri" w:hAnsi="Calibri" w:cs="Calibri"/>
          <w:b/>
        </w:rPr>
      </w:pPr>
    </w:p>
    <w:p w14:paraId="77C3098B" w14:textId="21C5D9F0" w:rsidR="00677A97" w:rsidRPr="00B5101B" w:rsidRDefault="00EC5DF5" w:rsidP="00EC5DF5">
      <w:pPr>
        <w:rPr>
          <w:rFonts w:ascii="Calibri" w:hAnsi="Calibri" w:cs="Calibri"/>
          <w:b/>
          <w:sz w:val="24"/>
        </w:rPr>
      </w:pPr>
      <w:r w:rsidRPr="00B5101B">
        <w:rPr>
          <w:rFonts w:ascii="Calibri" w:hAnsi="Calibri" w:cs="Calibri"/>
          <w:b/>
          <w:sz w:val="24"/>
        </w:rPr>
        <w:lastRenderedPageBreak/>
        <w:t>Why the BEP is a bad model for students with disabilities:</w:t>
      </w:r>
    </w:p>
    <w:p w14:paraId="3E469FE2" w14:textId="77777777" w:rsidR="00B5101B" w:rsidRPr="00EC5DF5" w:rsidRDefault="00B5101B" w:rsidP="00EC5DF5">
      <w:pPr>
        <w:rPr>
          <w:rFonts w:ascii="Calibri" w:hAnsi="Calibri" w:cs="Calibri"/>
          <w:b/>
        </w:rPr>
      </w:pPr>
    </w:p>
    <w:p w14:paraId="3D5B06CD" w14:textId="77777777" w:rsidR="00EC5DF5" w:rsidRPr="00EC5DF5" w:rsidRDefault="00EC5DF5" w:rsidP="00EC5DF5">
      <w:pPr>
        <w:numPr>
          <w:ilvl w:val="0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For the purposes of funding, the BEP assumes all students in each school are identical in need and identical in cost to educate</w:t>
      </w:r>
    </w:p>
    <w:p w14:paraId="6820A855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discounts disability, socioeconomic status, language proficiency, academic proficiency of the student body, geography and quality of instructional staff</w:t>
      </w:r>
    </w:p>
    <w:p w14:paraId="47E6B81E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Without accounting for more expensive needs in a given school, budgets are stretched thin to support the unique needs of students</w:t>
      </w:r>
    </w:p>
    <w:p w14:paraId="79323EAC" w14:textId="638825FB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helps to explains why academic proficiency and educational attainment is lower in schools with a large population of students in poverty, high rates of special education services or many students for whom English is a second language, for example</w:t>
      </w:r>
    </w:p>
    <w:p w14:paraId="179B3C48" w14:textId="77777777" w:rsidR="00EC5DF5" w:rsidRPr="00EC5DF5" w:rsidRDefault="00EC5DF5" w:rsidP="00EC5DF5">
      <w:pPr>
        <w:numPr>
          <w:ilvl w:val="0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BEP consistently underfunds education in the state because the formula is reactionary</w:t>
      </w:r>
    </w:p>
    <w:p w14:paraId="396449EF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BEP formula does not anticipate nor account for the rising cost of education, instead determining a “salary cost” through opaque and hard to understand mechanisms</w:t>
      </w:r>
    </w:p>
    <w:p w14:paraId="57751D01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BEP formula does not account for changing student demographics and needs</w:t>
      </w:r>
    </w:p>
    <w:p w14:paraId="42E69EA2" w14:textId="77777777" w:rsidR="00EC5DF5" w:rsidRPr="00EC5DF5" w:rsidRDefault="00EC5DF5" w:rsidP="00EC5DF5">
      <w:pPr>
        <w:numPr>
          <w:ilvl w:val="2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For example, the BEP won’t account for learning loss and necessary remediation following nearly a year of inconsistent and frequently interrupted learning</w:t>
      </w:r>
    </w:p>
    <w:p w14:paraId="24607C94" w14:textId="475249DA" w:rsidR="00EC5DF5" w:rsidRPr="00EC5DF5" w:rsidRDefault="00EC5DF5" w:rsidP="00EC5DF5">
      <w:pPr>
        <w:numPr>
          <w:ilvl w:val="2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is why</w:t>
      </w:r>
      <w:r w:rsidR="0028472E">
        <w:rPr>
          <w:rFonts w:ascii="Calibri" w:hAnsi="Calibri" w:cs="Calibri"/>
        </w:rPr>
        <w:t xml:space="preserve"> in 2021</w:t>
      </w:r>
      <w:r w:rsidRPr="00EC5DF5">
        <w:rPr>
          <w:rFonts w:ascii="Calibri" w:hAnsi="Calibri" w:cs="Calibri"/>
        </w:rPr>
        <w:t xml:space="preserve"> the Governor’s special </w:t>
      </w:r>
      <w:r w:rsidR="0028472E">
        <w:rPr>
          <w:rFonts w:ascii="Calibri" w:hAnsi="Calibri" w:cs="Calibri"/>
        </w:rPr>
        <w:t xml:space="preserve">legislative </w:t>
      </w:r>
      <w:r w:rsidRPr="00EC5DF5">
        <w:rPr>
          <w:rFonts w:ascii="Calibri" w:hAnsi="Calibri" w:cs="Calibri"/>
        </w:rPr>
        <w:t xml:space="preserve">session </w:t>
      </w:r>
      <w:r w:rsidR="0028472E">
        <w:rPr>
          <w:rFonts w:ascii="Calibri" w:hAnsi="Calibri" w:cs="Calibri"/>
        </w:rPr>
        <w:t xml:space="preserve">created </w:t>
      </w:r>
      <w:r w:rsidRPr="00EC5DF5">
        <w:rPr>
          <w:rFonts w:ascii="Calibri" w:hAnsi="Calibri" w:cs="Calibri"/>
        </w:rPr>
        <w:t>a patchwork of programs to account for this, rather than using the BEP</w:t>
      </w:r>
    </w:p>
    <w:p w14:paraId="2497F76F" w14:textId="77777777" w:rsidR="00EC5DF5" w:rsidRPr="00EC5DF5" w:rsidRDefault="00EC5DF5" w:rsidP="00EC5DF5">
      <w:pPr>
        <w:numPr>
          <w:ilvl w:val="0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BEP has rarely been fully funded at its statutory intent</w:t>
      </w:r>
    </w:p>
    <w:p w14:paraId="74FC239B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The Governor had to inject $70 million in his new 2021 budget to ensure that schools could afford the student-teacher ratio mandated by the BEP itself</w:t>
      </w:r>
    </w:p>
    <w:p w14:paraId="07EED9B0" w14:textId="77777777" w:rsidR="00EC5DF5" w:rsidRPr="00EC5DF5" w:rsidRDefault="00EC5DF5" w:rsidP="00EC5DF5">
      <w:pPr>
        <w:numPr>
          <w:ilvl w:val="0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When schools are left to scramble to make funds work, they often make cuts to the most expensive programs - including special education</w:t>
      </w:r>
    </w:p>
    <w:p w14:paraId="7121E976" w14:textId="77777777" w:rsidR="00EC5DF5" w:rsidRPr="00EC5DF5" w:rsidRDefault="00EC5DF5" w:rsidP="00EC5DF5">
      <w:pPr>
        <w:numPr>
          <w:ilvl w:val="1"/>
          <w:numId w:val="1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This leads to older, less effective curriculum, fewer classroom assistants, larger caseloads for school psychologists, social workers, counselors, etc.</w:t>
      </w:r>
    </w:p>
    <w:p w14:paraId="3D063A5F" w14:textId="48C59C10" w:rsidR="00EC5DF5" w:rsidRPr="00B5101B" w:rsidRDefault="00EC5DF5" w:rsidP="00EC5DF5">
      <w:pPr>
        <w:numPr>
          <w:ilvl w:val="1"/>
          <w:numId w:val="1"/>
        </w:numPr>
        <w:rPr>
          <w:rFonts w:ascii="Calibri" w:hAnsi="Calibri" w:cs="Calibri"/>
          <w:sz w:val="24"/>
        </w:rPr>
      </w:pPr>
      <w:r w:rsidRPr="00EC5DF5">
        <w:rPr>
          <w:rFonts w:ascii="Calibri" w:hAnsi="Calibri" w:cs="Calibri"/>
        </w:rPr>
        <w:t>Schools make fewer investments in individualized education, including assistive technology, smaller classrooms and caseloads and less educational and behavioral support</w:t>
      </w:r>
      <w:r w:rsidR="006C4379">
        <w:rPr>
          <w:rFonts w:ascii="Calibri" w:hAnsi="Calibri" w:cs="Calibri"/>
        </w:rPr>
        <w:br/>
      </w:r>
    </w:p>
    <w:p w14:paraId="32FA1492" w14:textId="367076D2" w:rsidR="00EC5DF5" w:rsidRPr="00B5101B" w:rsidRDefault="00EC5DF5" w:rsidP="00EC5DF5">
      <w:pPr>
        <w:rPr>
          <w:rFonts w:ascii="Calibri" w:hAnsi="Calibri" w:cs="Calibri"/>
          <w:b/>
          <w:sz w:val="24"/>
        </w:rPr>
      </w:pPr>
      <w:r w:rsidRPr="00B5101B">
        <w:rPr>
          <w:rFonts w:ascii="Calibri" w:hAnsi="Calibri" w:cs="Calibri"/>
          <w:b/>
          <w:sz w:val="24"/>
        </w:rPr>
        <w:t>How to fix the BEP:</w:t>
      </w:r>
    </w:p>
    <w:p w14:paraId="138B2857" w14:textId="77777777" w:rsidR="00B5101B" w:rsidRPr="00EC5DF5" w:rsidRDefault="00B5101B" w:rsidP="00EC5DF5">
      <w:pPr>
        <w:rPr>
          <w:rFonts w:ascii="Calibri" w:hAnsi="Calibri" w:cs="Calibri"/>
          <w:b/>
        </w:rPr>
      </w:pPr>
    </w:p>
    <w:p w14:paraId="3EF3F882" w14:textId="77777777" w:rsidR="00EC5DF5" w:rsidRPr="00EC5DF5" w:rsidRDefault="00EC5DF5" w:rsidP="00EC5DF5">
      <w:pPr>
        <w:numPr>
          <w:ilvl w:val="0"/>
          <w:numId w:val="2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>In short, you can’t - the state has tried for years through a series of reactionary patches and fixes that have only perpetuate the problems of the BEP</w:t>
      </w:r>
    </w:p>
    <w:p w14:paraId="30917A67" w14:textId="77777777" w:rsidR="00EC5DF5" w:rsidRPr="005123ED" w:rsidRDefault="00EC5DF5" w:rsidP="00EC5DF5">
      <w:pPr>
        <w:numPr>
          <w:ilvl w:val="0"/>
          <w:numId w:val="2"/>
        </w:numPr>
        <w:rPr>
          <w:rFonts w:ascii="Calibri" w:hAnsi="Calibri" w:cs="Calibri"/>
        </w:rPr>
      </w:pPr>
      <w:r w:rsidRPr="00EC5DF5">
        <w:rPr>
          <w:rFonts w:ascii="Calibri" w:hAnsi="Calibri" w:cs="Calibri"/>
        </w:rPr>
        <w:t xml:space="preserve">The state should </w:t>
      </w:r>
      <w:r w:rsidRPr="005123ED">
        <w:rPr>
          <w:rFonts w:ascii="Calibri" w:hAnsi="Calibri" w:cs="Calibri"/>
        </w:rPr>
        <w:t xml:space="preserve">replace the BEP with a </w:t>
      </w:r>
      <w:hyperlink r:id="rId9">
        <w:r w:rsidRPr="005123ED">
          <w:rPr>
            <w:rFonts w:ascii="Calibri" w:hAnsi="Calibri" w:cs="Calibri"/>
            <w:color w:val="1155CC"/>
            <w:u w:val="single"/>
          </w:rPr>
          <w:t>weighted funding formula</w:t>
        </w:r>
      </w:hyperlink>
      <w:r w:rsidRPr="005123ED">
        <w:rPr>
          <w:rFonts w:ascii="Calibri" w:hAnsi="Calibri" w:cs="Calibri"/>
        </w:rPr>
        <w:t xml:space="preserve"> that accounts for the unique needs of given districts, schools, staff and students</w:t>
      </w:r>
    </w:p>
    <w:p w14:paraId="7B122FBB" w14:textId="73DC6AB2" w:rsidR="00616965" w:rsidRPr="005123ED" w:rsidRDefault="0004711D">
      <w:pPr>
        <w:rPr>
          <w:rFonts w:ascii="Calibri" w:hAnsi="Calibri" w:cs="Calibri"/>
        </w:rPr>
      </w:pPr>
    </w:p>
    <w:p w14:paraId="69F61337" w14:textId="43391ED3" w:rsidR="006B1D76" w:rsidRPr="005123ED" w:rsidRDefault="00945D71">
      <w:pPr>
        <w:rPr>
          <w:rFonts w:ascii="Calibri" w:hAnsi="Calibri" w:cs="Calibri"/>
        </w:rPr>
      </w:pPr>
      <w:r>
        <w:rPr>
          <w:rFonts w:ascii="Calibri" w:hAnsi="Calibri" w:cs="Calibri"/>
        </w:rPr>
        <w:t>Have questions or want to get involved?</w:t>
      </w:r>
      <w:r w:rsidR="005123ED" w:rsidRPr="005123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bookmarkStart w:id="0" w:name="_GoBack"/>
      <w:bookmarkEnd w:id="0"/>
      <w:r w:rsidR="005123ED" w:rsidRPr="005123ED">
        <w:rPr>
          <w:rFonts w:ascii="Calibri" w:hAnsi="Calibri" w:cs="Calibri"/>
        </w:rPr>
        <w:t>ontact</w:t>
      </w:r>
      <w:r w:rsidR="005123ED">
        <w:rPr>
          <w:rFonts w:ascii="Calibri" w:hAnsi="Calibri" w:cs="Calibri"/>
        </w:rPr>
        <w:t>:</w:t>
      </w:r>
      <w:r w:rsidR="005123ED" w:rsidRPr="005123ED">
        <w:rPr>
          <w:rFonts w:ascii="Calibri" w:hAnsi="Calibri" w:cs="Calibri"/>
        </w:rPr>
        <w:t xml:space="preserve"> </w:t>
      </w:r>
      <w:hyperlink r:id="rId10" w:history="1">
        <w:r w:rsidR="005123ED" w:rsidRPr="005123ED">
          <w:rPr>
            <w:rStyle w:val="Hyperlink"/>
            <w:rFonts w:ascii="Calibri" w:hAnsi="Calibri" w:cs="Calibri"/>
          </w:rPr>
          <w:t>jeff_s@tndisability.org</w:t>
        </w:r>
      </w:hyperlink>
      <w:r w:rsidR="005123ED" w:rsidRPr="005123ED">
        <w:rPr>
          <w:rFonts w:ascii="Calibri" w:hAnsi="Calibri" w:cs="Calibri"/>
        </w:rPr>
        <w:t xml:space="preserve"> or 615-383-9442</w:t>
      </w:r>
    </w:p>
    <w:sectPr w:rsidR="006B1D76" w:rsidRPr="005123ED" w:rsidSect="00584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F17E" w14:textId="77777777" w:rsidR="0004711D" w:rsidRDefault="0004711D" w:rsidP="00EA1171">
      <w:r>
        <w:separator/>
      </w:r>
    </w:p>
  </w:endnote>
  <w:endnote w:type="continuationSeparator" w:id="0">
    <w:p w14:paraId="5781012B" w14:textId="77777777" w:rsidR="0004711D" w:rsidRDefault="0004711D" w:rsidP="00EA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B2FD" w14:textId="77777777" w:rsidR="00EA1171" w:rsidRDefault="00EA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09F9" w14:textId="77777777" w:rsidR="00EA1171" w:rsidRPr="009B5F3D" w:rsidRDefault="009B5F3D" w:rsidP="009B5F3D">
    <w:pPr>
      <w:pStyle w:val="Footer"/>
      <w:jc w:val="center"/>
    </w:pPr>
    <w:r>
      <w:rPr>
        <w:noProof/>
      </w:rPr>
      <w:drawing>
        <wp:inline distT="0" distB="0" distL="0" distR="0" wp14:anchorId="06A39703" wp14:editId="4CE502D7">
          <wp:extent cx="855878" cy="62206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DC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532" cy="65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2242" w14:textId="77777777" w:rsidR="00EA1171" w:rsidRDefault="00EA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D581" w14:textId="77777777" w:rsidR="0004711D" w:rsidRDefault="0004711D" w:rsidP="00EA1171">
      <w:r>
        <w:separator/>
      </w:r>
    </w:p>
  </w:footnote>
  <w:footnote w:type="continuationSeparator" w:id="0">
    <w:p w14:paraId="70953967" w14:textId="77777777" w:rsidR="0004711D" w:rsidRDefault="0004711D" w:rsidP="00EA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795" w14:textId="77777777" w:rsidR="00EA1171" w:rsidRDefault="00EA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62FD" w14:textId="77777777" w:rsidR="00EA1171" w:rsidRDefault="00E56536" w:rsidP="00D74D26">
    <w:pPr>
      <w:pStyle w:val="Header"/>
      <w:jc w:val="center"/>
    </w:pPr>
    <w:r>
      <w:rPr>
        <w:noProof/>
      </w:rPr>
      <w:drawing>
        <wp:inline distT="0" distB="0" distL="0" distR="0" wp14:anchorId="478A2D82" wp14:editId="1B00BEC7">
          <wp:extent cx="2016081" cy="5779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C_ddh2021_cmyk-dd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915" cy="70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87FC4" w14:textId="77777777" w:rsidR="00EA1171" w:rsidRDefault="00EA1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F61F" w14:textId="77777777" w:rsidR="00EA1171" w:rsidRDefault="00EA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7B7"/>
    <w:multiLevelType w:val="multilevel"/>
    <w:tmpl w:val="D9787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E7570"/>
    <w:multiLevelType w:val="multilevel"/>
    <w:tmpl w:val="23D89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6964FF"/>
    <w:multiLevelType w:val="multilevel"/>
    <w:tmpl w:val="ADDA2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D"/>
    <w:rsid w:val="0004711D"/>
    <w:rsid w:val="0028472E"/>
    <w:rsid w:val="003D3359"/>
    <w:rsid w:val="003D7F85"/>
    <w:rsid w:val="004F4BD3"/>
    <w:rsid w:val="005123ED"/>
    <w:rsid w:val="00584408"/>
    <w:rsid w:val="00596871"/>
    <w:rsid w:val="00677A97"/>
    <w:rsid w:val="006B1D76"/>
    <w:rsid w:val="006C4379"/>
    <w:rsid w:val="006E57F1"/>
    <w:rsid w:val="00945D71"/>
    <w:rsid w:val="009B5F3D"/>
    <w:rsid w:val="009C0DA0"/>
    <w:rsid w:val="00B5101B"/>
    <w:rsid w:val="00B829A3"/>
    <w:rsid w:val="00BB09F7"/>
    <w:rsid w:val="00C53BFE"/>
    <w:rsid w:val="00D74D26"/>
    <w:rsid w:val="00E56536"/>
    <w:rsid w:val="00E837C2"/>
    <w:rsid w:val="00E919AD"/>
    <w:rsid w:val="00EA1171"/>
    <w:rsid w:val="00EC5DF5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DCDE"/>
  <w15:chartTrackingRefBased/>
  <w15:docId w15:val="{C7AB459D-1497-554C-947F-CF91977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F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1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1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71"/>
  </w:style>
  <w:style w:type="paragraph" w:styleId="Footer">
    <w:name w:val="footer"/>
    <w:basedOn w:val="Normal"/>
    <w:link w:val="FooterChar"/>
    <w:uiPriority w:val="99"/>
    <w:unhideWhenUsed/>
    <w:rsid w:val="00EA1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71"/>
  </w:style>
  <w:style w:type="character" w:styleId="Hyperlink">
    <w:name w:val="Hyperlink"/>
    <w:basedOn w:val="DefaultParagraphFont"/>
    <w:uiPriority w:val="99"/>
    <w:unhideWhenUsed/>
    <w:rsid w:val="00D7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awcenter.org/research/tennessee/bep-prime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ff_s@tndisa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trust.org/resource/5-things-to-advance-equity-in-state-funding-system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4ACDF-D21E-3B47-816C-395058A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Krasteva</dc:creator>
  <cp:keywords/>
  <dc:description/>
  <cp:lastModifiedBy>Microsoft Office User</cp:lastModifiedBy>
  <cp:revision>14</cp:revision>
  <cp:lastPrinted>2021-02-09T22:07:00Z</cp:lastPrinted>
  <dcterms:created xsi:type="dcterms:W3CDTF">2021-02-11T16:09:00Z</dcterms:created>
  <dcterms:modified xsi:type="dcterms:W3CDTF">2021-02-11T18:24:00Z</dcterms:modified>
</cp:coreProperties>
</file>