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A1" w:rsidRDefault="00F84CE3">
      <w:pPr>
        <w:rPr>
          <w:rFonts w:ascii="Times New Roman" w:eastAsia="Times New Roman" w:hAnsi="Times New Roman" w:cs="Times New Roman"/>
        </w:rPr>
      </w:pPr>
      <w:r>
        <w:rPr>
          <w:rFonts w:ascii="Times New Roman" w:eastAsia="Times New Roman" w:hAnsi="Times New Roman" w:cs="Times New Roman"/>
          <w:noProof/>
          <w:lang w:val="en-US"/>
        </w:rPr>
        <w:drawing>
          <wp:anchor distT="0" distB="0" distL="0" distR="0" simplePos="0" relativeHeight="251658240" behindDoc="1" locked="0" layoutInCell="1" hidden="0" allowOverlap="1">
            <wp:simplePos x="0" y="0"/>
            <wp:positionH relativeFrom="margin">
              <wp:posOffset>-828674</wp:posOffset>
            </wp:positionH>
            <wp:positionV relativeFrom="margin">
              <wp:posOffset>-1234058</wp:posOffset>
            </wp:positionV>
            <wp:extent cx="7772400" cy="10058400"/>
            <wp:effectExtent l="0" t="0" r="0" b="0"/>
            <wp:wrapNone/>
            <wp:docPr id="2" name="image1.jpg" descr="Letterhead-05"/>
            <wp:cNvGraphicFramePr/>
            <a:graphic xmlns:a="http://schemas.openxmlformats.org/drawingml/2006/main">
              <a:graphicData uri="http://schemas.openxmlformats.org/drawingml/2006/picture">
                <pic:pic xmlns:pic="http://schemas.openxmlformats.org/drawingml/2006/picture">
                  <pic:nvPicPr>
                    <pic:cNvPr id="0" name="image1.jpg" descr="Letterhead-05"/>
                    <pic:cNvPicPr preferRelativeResize="0"/>
                  </pic:nvPicPr>
                  <pic:blipFill>
                    <a:blip r:embed="rId8"/>
                    <a:srcRect/>
                    <a:stretch>
                      <a:fillRect/>
                    </a:stretch>
                  </pic:blipFill>
                  <pic:spPr>
                    <a:xfrm>
                      <a:off x="0" y="0"/>
                      <a:ext cx="7772400" cy="10058400"/>
                    </a:xfrm>
                    <a:prstGeom prst="rect">
                      <a:avLst/>
                    </a:prstGeom>
                    <a:ln/>
                  </pic:spPr>
                </pic:pic>
              </a:graphicData>
            </a:graphic>
          </wp:anchor>
        </w:drawing>
      </w:r>
    </w:p>
    <w:p w:rsidR="003347A1" w:rsidRDefault="003347A1">
      <w:pPr>
        <w:rPr>
          <w:rFonts w:ascii="Times New Roman" w:eastAsia="Times New Roman" w:hAnsi="Times New Roman" w:cs="Times New Roman"/>
        </w:rPr>
      </w:pPr>
    </w:p>
    <w:p w:rsidR="003347A1" w:rsidRPr="003E4755" w:rsidRDefault="003E4755" w:rsidP="003E4755">
      <w:pPr>
        <w:ind w:left="-630"/>
        <w:rPr>
          <w:rFonts w:ascii="Book Antiqua" w:eastAsia="Times New Roman" w:hAnsi="Book Antiqua" w:cs="Times New Roman"/>
        </w:rPr>
      </w:pPr>
      <w:r>
        <w:rPr>
          <w:rFonts w:ascii="Book Antiqua" w:eastAsia="Times New Roman" w:hAnsi="Book Antiqua" w:cs="Times New Roman"/>
        </w:rPr>
        <w:t>June 9, 2025</w:t>
      </w:r>
    </w:p>
    <w:p w:rsidR="003E4755" w:rsidRDefault="003E4755" w:rsidP="003E4755">
      <w:pPr>
        <w:pStyle w:val="NormalWeb"/>
        <w:spacing w:before="0" w:beforeAutospacing="0" w:after="0" w:afterAutospacing="0"/>
        <w:ind w:left="-630"/>
        <w:rPr>
          <w:rFonts w:ascii="Book Antiqua" w:hAnsi="Book Antiqua" w:cs="Arial"/>
          <w:color w:val="000000"/>
        </w:rPr>
      </w:pP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Filed to</w:t>
      </w:r>
      <w:hyperlink r:id="rId9" w:history="1">
        <w:r w:rsidRPr="003E4755">
          <w:rPr>
            <w:rStyle w:val="Hyperlink"/>
            <w:rFonts w:ascii="Book Antiqua" w:hAnsi="Book Antiqua" w:cs="Arial"/>
            <w:color w:val="1155CC"/>
          </w:rPr>
          <w:t xml:space="preserve"> www.regulations.gov</w:t>
        </w:r>
      </w:hyperlink>
      <w:r w:rsidRPr="003E4755">
        <w:rPr>
          <w:rFonts w:ascii="Book Antiqua" w:hAnsi="Book Antiqua" w:cs="Arial"/>
          <w:color w:val="000000"/>
        </w:rPr>
        <w:t xml:space="preserve"> under</w:t>
      </w:r>
      <w:hyperlink r:id="rId10" w:history="1">
        <w:r w:rsidRPr="003E4755">
          <w:rPr>
            <w:rStyle w:val="Hyperlink"/>
            <w:rFonts w:ascii="Book Antiqua" w:hAnsi="Book Antiqua" w:cs="Arial"/>
            <w:color w:val="1155CC"/>
          </w:rPr>
          <w:t xml:space="preserve"> DOE-HQ-2025-0015</w:t>
        </w:r>
      </w:hyperlink>
      <w:r w:rsidRPr="003E4755">
        <w:rPr>
          <w:rFonts w:ascii="Book Antiqua" w:hAnsi="Book Antiqua" w:cs="Arial"/>
          <w:color w:val="000000"/>
        </w:rPr>
        <w:t xml:space="preserve"> and</w:t>
      </w:r>
      <w:hyperlink r:id="rId11" w:history="1">
        <w:r w:rsidRPr="003E4755">
          <w:rPr>
            <w:rStyle w:val="Hyperlink"/>
            <w:rFonts w:ascii="Book Antiqua" w:hAnsi="Book Antiqua" w:cs="Arial"/>
            <w:color w:val="1155CC"/>
          </w:rPr>
          <w:t xml:space="preserve"> DOE-HQ-2025-0024</w:t>
        </w:r>
      </w:hyperlink>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 xml:space="preserve">Emailed to </w:t>
      </w:r>
      <w:hyperlink r:id="rId12" w:history="1">
        <w:r w:rsidRPr="003E4755">
          <w:rPr>
            <w:rStyle w:val="Hyperlink"/>
            <w:rFonts w:ascii="Book Antiqua" w:hAnsi="Book Antiqua" w:cs="Arial"/>
            <w:color w:val="1155CC"/>
          </w:rPr>
          <w:t>DOEGeneralCounsel@hq.doe.gov</w:t>
        </w:r>
      </w:hyperlink>
    </w:p>
    <w:p w:rsidR="003E4755" w:rsidRPr="003E4755" w:rsidRDefault="003E4755" w:rsidP="003E4755">
      <w:pPr>
        <w:ind w:left="-630"/>
        <w:rPr>
          <w:rFonts w:ascii="Book Antiqua" w:hAnsi="Book Antiqua"/>
        </w:rPr>
      </w:pP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Department of Energy</w:t>
      </w: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Office of Civil Rights and EEO</w:t>
      </w: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1000 Independence Avenue SW, Room 5B-168</w:t>
      </w: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Washington, DC 20585</w:t>
      </w:r>
    </w:p>
    <w:p w:rsidR="003E4755" w:rsidRPr="003E4755" w:rsidRDefault="003E4755" w:rsidP="003E4755">
      <w:pPr>
        <w:ind w:left="-630"/>
        <w:rPr>
          <w:rFonts w:ascii="Book Antiqua" w:hAnsi="Book Antiqua"/>
        </w:rPr>
      </w:pP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Department of Energy</w:t>
      </w: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Office of Minority Economic Impact</w:t>
      </w: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1000 Independence Avenue SW</w:t>
      </w:r>
    </w:p>
    <w:p w:rsidR="003E4755" w:rsidRPr="003E4755" w:rsidRDefault="003E4755" w:rsidP="003E4755">
      <w:pPr>
        <w:pStyle w:val="NormalWeb"/>
        <w:spacing w:before="0" w:beforeAutospacing="0" w:after="0" w:afterAutospacing="0"/>
        <w:ind w:left="-630"/>
        <w:rPr>
          <w:rFonts w:ascii="Book Antiqua" w:hAnsi="Book Antiqua"/>
        </w:rPr>
      </w:pPr>
      <w:r w:rsidRPr="003E4755">
        <w:rPr>
          <w:rFonts w:ascii="Book Antiqua" w:hAnsi="Book Antiqua" w:cs="Arial"/>
          <w:color w:val="000000"/>
        </w:rPr>
        <w:t>Washington DC 20585</w:t>
      </w:r>
    </w:p>
    <w:p w:rsidR="003E4755" w:rsidRPr="003E4755" w:rsidRDefault="003E4755" w:rsidP="003E4755">
      <w:pPr>
        <w:pStyle w:val="NormalWeb"/>
        <w:spacing w:before="240" w:beforeAutospacing="0" w:after="240" w:afterAutospacing="0"/>
        <w:ind w:left="-630"/>
        <w:rPr>
          <w:rFonts w:ascii="Book Antiqua" w:hAnsi="Book Antiqua"/>
        </w:rPr>
      </w:pPr>
      <w:hyperlink r:id="rId13" w:history="1">
        <w:r w:rsidRPr="003E4755">
          <w:rPr>
            <w:rStyle w:val="Hyperlink"/>
            <w:rFonts w:ascii="Book Antiqua" w:hAnsi="Book Antiqua" w:cs="Arial"/>
            <w:color w:val="1155CC"/>
          </w:rPr>
          <w:t>DOE-HQ-2025-0024</w:t>
        </w:r>
      </w:hyperlink>
      <w:r w:rsidRPr="003E4755">
        <w:rPr>
          <w:rFonts w:ascii="Book Antiqua" w:hAnsi="Book Antiqua" w:cs="Arial"/>
          <w:color w:val="000000"/>
        </w:rPr>
        <w:t xml:space="preserve"> Nondiscrimination</w:t>
      </w:r>
    </w:p>
    <w:p w:rsidR="003E4755" w:rsidRDefault="003E4755" w:rsidP="003E4755">
      <w:pPr>
        <w:pStyle w:val="NormalWeb"/>
        <w:spacing w:before="240" w:beforeAutospacing="0" w:after="240" w:afterAutospacing="0"/>
        <w:ind w:left="-630"/>
        <w:rPr>
          <w:rFonts w:ascii="Book Antiqua" w:hAnsi="Book Antiqua" w:cs="Arial"/>
          <w:color w:val="000000"/>
        </w:rPr>
      </w:pPr>
      <w:hyperlink r:id="rId14" w:history="1">
        <w:r w:rsidRPr="003E4755">
          <w:rPr>
            <w:rStyle w:val="Hyperlink"/>
            <w:rFonts w:ascii="Book Antiqua" w:hAnsi="Book Antiqua" w:cs="Arial"/>
            <w:color w:val="1155CC"/>
          </w:rPr>
          <w:t>DOE-HQ-2025-0015</w:t>
        </w:r>
      </w:hyperlink>
      <w:r w:rsidRPr="003E4755">
        <w:rPr>
          <w:rFonts w:ascii="Book Antiqua" w:hAnsi="Book Antiqua" w:cs="Arial"/>
          <w:color w:val="000000"/>
        </w:rPr>
        <w:t xml:space="preserve"> New Construction Requirements</w:t>
      </w:r>
    </w:p>
    <w:p w:rsidR="003E4755" w:rsidRDefault="003E4755" w:rsidP="003E4755">
      <w:pPr>
        <w:pStyle w:val="NormalWeb"/>
        <w:spacing w:before="240" w:beforeAutospacing="0" w:after="240" w:afterAutospacing="0"/>
        <w:ind w:left="-630"/>
        <w:rPr>
          <w:rFonts w:ascii="Book Antiqua" w:eastAsia="Book Antiqua" w:hAnsi="Book Antiqua" w:cs="Book Antiqua"/>
        </w:rPr>
      </w:pPr>
      <w:bookmarkStart w:id="0" w:name="_GoBack"/>
      <w:bookmarkEnd w:id="0"/>
    </w:p>
    <w:p w:rsidR="003347A1" w:rsidRDefault="00F84CE3">
      <w:pPr>
        <w:ind w:left="-720"/>
        <w:rPr>
          <w:rFonts w:ascii="Book Antiqua" w:eastAsia="Book Antiqua" w:hAnsi="Book Antiqua" w:cs="Book Antiqua"/>
        </w:rPr>
      </w:pPr>
      <w:r>
        <w:rPr>
          <w:rFonts w:ascii="Book Antiqua" w:eastAsia="Book Antiqua" w:hAnsi="Book Antiqua" w:cs="Book Antiqua"/>
        </w:rPr>
        <w:t>To Whom It May Concern:</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 </w:t>
      </w:r>
    </w:p>
    <w:p w:rsidR="003347A1" w:rsidRDefault="00F84CE3">
      <w:pPr>
        <w:ind w:left="-630"/>
        <w:rPr>
          <w:rFonts w:ascii="Book Antiqua" w:eastAsia="Book Antiqua" w:hAnsi="Book Antiqua" w:cs="Book Antiqua"/>
        </w:rPr>
      </w:pPr>
      <w:r>
        <w:rPr>
          <w:rFonts w:ascii="Book Antiqua" w:eastAsia="Book Antiqua" w:hAnsi="Book Antiqua" w:cs="Book Antiqua"/>
        </w:rPr>
        <w:t xml:space="preserve">I am writing on behalf of the Tennessee Disability Coalition (TDC).  The Coalition is an alliance of almost 50 groups and organizations in Tennessee that have joined to promote the full and equal participation of men, women and children with disabilities in all aspects of life. The core purpose of the Coalition is to work for systems change and to advocate public policies that ensure every person with a disability has the freedom and opportunity to exercise individual decisions that affect their own lives, welfare and personal dignity.  </w:t>
      </w:r>
    </w:p>
    <w:p w:rsidR="003347A1" w:rsidRDefault="003347A1">
      <w:pPr>
        <w:ind w:left="-630"/>
        <w:rPr>
          <w:rFonts w:ascii="Book Antiqua" w:eastAsia="Book Antiqua" w:hAnsi="Book Antiqua" w:cs="Book Antiqua"/>
        </w:rPr>
      </w:pPr>
    </w:p>
    <w:p w:rsidR="003347A1" w:rsidRDefault="00F84CE3">
      <w:pPr>
        <w:ind w:left="-630"/>
        <w:rPr>
          <w:rFonts w:ascii="Book Antiqua" w:eastAsia="Book Antiqua" w:hAnsi="Book Antiqua" w:cs="Book Antiqua"/>
        </w:rPr>
      </w:pPr>
      <w:r>
        <w:rPr>
          <w:rFonts w:ascii="Book Antiqua" w:eastAsia="Book Antiqua" w:hAnsi="Book Antiqua" w:cs="Book Antiqua"/>
        </w:rPr>
        <w:t xml:space="preserve">Policies that promote self-determination, independence, empowerment, and integration of children and adults with disabilities in all aspects of society </w:t>
      </w:r>
      <w:proofErr w:type="gramStart"/>
      <w:r>
        <w:rPr>
          <w:rFonts w:ascii="Book Antiqua" w:eastAsia="Book Antiqua" w:hAnsi="Book Antiqua" w:cs="Book Antiqua"/>
        </w:rPr>
        <w:t>are endorsed</w:t>
      </w:r>
      <w:proofErr w:type="gramEnd"/>
      <w:r>
        <w:rPr>
          <w:rFonts w:ascii="Book Antiqua" w:eastAsia="Book Antiqua" w:hAnsi="Book Antiqua" w:cs="Book Antiqua"/>
        </w:rPr>
        <w:t xml:space="preserve"> by the Coalition.  Special emphasis </w:t>
      </w:r>
      <w:proofErr w:type="gramStart"/>
      <w:r>
        <w:rPr>
          <w:rFonts w:ascii="Book Antiqua" w:eastAsia="Book Antiqua" w:hAnsi="Book Antiqua" w:cs="Book Antiqua"/>
        </w:rPr>
        <w:t>is given</w:t>
      </w:r>
      <w:proofErr w:type="gramEnd"/>
      <w:r>
        <w:rPr>
          <w:rFonts w:ascii="Book Antiqua" w:eastAsia="Book Antiqua" w:hAnsi="Book Antiqua" w:cs="Book Antiqua"/>
        </w:rPr>
        <w:t xml:space="preserve"> to enhancing civil rights and quality of life and upholding the values of Section 504 and the Americans with Disabilities Act.  </w:t>
      </w:r>
    </w:p>
    <w:p w:rsidR="003347A1" w:rsidRDefault="003347A1">
      <w:pPr>
        <w:ind w:left="-630"/>
        <w:rPr>
          <w:rFonts w:ascii="Book Antiqua" w:eastAsia="Book Antiqua" w:hAnsi="Book Antiqua" w:cs="Book Antiqua"/>
        </w:rPr>
      </w:pPr>
    </w:p>
    <w:p w:rsidR="003347A1" w:rsidRDefault="00F84CE3">
      <w:pPr>
        <w:ind w:left="-630"/>
        <w:rPr>
          <w:rFonts w:ascii="Book Antiqua" w:eastAsia="Book Antiqua" w:hAnsi="Book Antiqua" w:cs="Book Antiqua"/>
        </w:rPr>
      </w:pPr>
      <w:r>
        <w:rPr>
          <w:rFonts w:ascii="Book Antiqua" w:eastAsia="Book Antiqua" w:hAnsi="Book Antiqua" w:cs="Book Antiqua"/>
        </w:rPr>
        <w:t xml:space="preserve">Access to the built environment is fundamental. Individuals can only achieve self-determination, independence, economic self-sufficiency, and real lives if they are able to function in all places and in all aspects of their communities. </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b/>
        </w:rPr>
      </w:pPr>
      <w:r>
        <w:rPr>
          <w:rFonts w:ascii="Book Antiqua" w:eastAsia="Book Antiqua" w:hAnsi="Book Antiqua" w:cs="Book Antiqua"/>
          <w:b/>
        </w:rPr>
        <w:t xml:space="preserve">It is for this reason that TDC is providing this </w:t>
      </w:r>
      <w:r>
        <w:rPr>
          <w:rFonts w:ascii="Book Antiqua" w:eastAsia="Book Antiqua" w:hAnsi="Book Antiqua" w:cs="Book Antiqua"/>
          <w:b/>
          <w:u w:val="single"/>
        </w:rPr>
        <w:t>adverse comment</w:t>
      </w:r>
      <w:r>
        <w:rPr>
          <w:rFonts w:ascii="Book Antiqua" w:eastAsia="Book Antiqua" w:hAnsi="Book Antiqua" w:cs="Book Antiqua"/>
          <w:b/>
        </w:rPr>
        <w:t xml:space="preserve"> opposing the direct final rules at Docket Numbers DOE-HQ-2025-0015 and DOE-HQ-2025-0024. </w:t>
      </w:r>
    </w:p>
    <w:p w:rsidR="003347A1" w:rsidRDefault="003347A1">
      <w:pPr>
        <w:ind w:left="-720"/>
        <w:rPr>
          <w:rFonts w:ascii="Book Antiqua" w:eastAsia="Book Antiqua" w:hAnsi="Book Antiqua" w:cs="Book Antiqua"/>
        </w:rPr>
      </w:pPr>
    </w:p>
    <w:p w:rsidR="005E1D75" w:rsidRDefault="00F84CE3" w:rsidP="005E1D75">
      <w:pPr>
        <w:ind w:left="-720"/>
        <w:rPr>
          <w:rFonts w:ascii="Book Antiqua" w:eastAsia="Book Antiqua" w:hAnsi="Book Antiqua" w:cs="Book Antiqua"/>
        </w:rPr>
      </w:pPr>
      <w:r>
        <w:rPr>
          <w:rFonts w:ascii="Book Antiqua" w:eastAsia="Book Antiqua" w:hAnsi="Book Antiqua" w:cs="Book Antiqua"/>
        </w:rPr>
        <w:lastRenderedPageBreak/>
        <w:t>The proposed rules would rescind critical portions of the Department of Energy (DOE)’s regulations implementing Section 504 of the Rehabilitation Act. Number 2025-0015 would rescind 10 C.F.R. § 1040.73, which requires recipients to ensure that new construction and alteration is fully accessible to people with disabilities. Number 2025-0024 would rescind portions of DOE’s program access rule for existing facilities at 10 C.F.R. § 1040.72(c) &amp; (d), including the requirement to make a transition plan to eliminate access barriers in these existing facilities.</w:t>
      </w:r>
    </w:p>
    <w:p w:rsidR="005E1D75" w:rsidRDefault="005E1D75" w:rsidP="005E1D75">
      <w:pPr>
        <w:ind w:left="-720"/>
        <w:rPr>
          <w:rFonts w:ascii="Book Antiqua" w:eastAsia="Book Antiqua" w:hAnsi="Book Antiqua" w:cs="Book Antiqua"/>
        </w:rPr>
      </w:pPr>
    </w:p>
    <w:p w:rsidR="005E1D75" w:rsidRPr="005E1D75" w:rsidRDefault="005E1D75" w:rsidP="005E1D75">
      <w:pPr>
        <w:ind w:left="-720"/>
        <w:rPr>
          <w:rFonts w:ascii="Book Antiqua" w:eastAsia="Book Antiqua" w:hAnsi="Book Antiqua" w:cs="Book Antiqua"/>
        </w:rPr>
      </w:pPr>
      <w:r>
        <w:rPr>
          <w:rFonts w:ascii="Book Antiqua" w:eastAsia="Book Antiqua" w:hAnsi="Book Antiqua" w:cs="Book Antiqua"/>
        </w:rPr>
        <w:t xml:space="preserve">People with disabilities, whether employees, visitors, partners, or contractors, are discriminated against when the built environment is not accessible. </w:t>
      </w:r>
      <w:r w:rsidRPr="005E1D75">
        <w:rPr>
          <w:rFonts w:ascii="Times New Roman" w:eastAsia="Times New Roman" w:hAnsi="Times New Roman" w:cs="Times New Roman"/>
          <w:lang w:val="en-US"/>
        </w:rPr>
        <w:t xml:space="preserve">When construction </w:t>
      </w:r>
      <w:r>
        <w:rPr>
          <w:rFonts w:ascii="Times New Roman" w:eastAsia="Times New Roman" w:hAnsi="Times New Roman" w:cs="Times New Roman"/>
          <w:lang w:val="en-US"/>
        </w:rPr>
        <w:t>is</w:t>
      </w:r>
      <w:r w:rsidRPr="005E1D75">
        <w:rPr>
          <w:rFonts w:ascii="Times New Roman" w:eastAsia="Times New Roman" w:hAnsi="Times New Roman" w:cs="Times New Roman"/>
          <w:lang w:val="en-US"/>
        </w:rPr>
        <w:t xml:space="preserve"> </w:t>
      </w:r>
      <w:r w:rsidR="00E5317D" w:rsidRPr="005E1D75">
        <w:rPr>
          <w:rFonts w:ascii="Times New Roman" w:eastAsia="Times New Roman" w:hAnsi="Times New Roman" w:cs="Times New Roman"/>
          <w:lang w:val="en-US"/>
        </w:rPr>
        <w:t>accessible,</w:t>
      </w:r>
      <w:r w:rsidRPr="005E1D75">
        <w:rPr>
          <w:rFonts w:ascii="Times New Roman" w:eastAsia="Times New Roman" w:hAnsi="Times New Roman" w:cs="Times New Roman"/>
          <w:lang w:val="en-US"/>
        </w:rPr>
        <w:t xml:space="preserve"> </w:t>
      </w:r>
      <w:r>
        <w:rPr>
          <w:rFonts w:ascii="Times New Roman" w:eastAsia="Times New Roman" w:hAnsi="Times New Roman" w:cs="Times New Roman"/>
          <w:lang w:val="en-US"/>
        </w:rPr>
        <w:t>it includes things like:</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Accessible parking spaces that allow deployment of a van’s wheelchair lift </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An accessible route from a parking lot to the entrance  -- wide space, nothing obstructing the route (e.g., planters, trash buckets),no stairs/steps</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Entrance is zero step - no stairs</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Accessible paths once inside a building -- into and out of rooms</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Counters that people in mobility devices can reach</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Restrooms that are simply big enough for someone with a mobility device to use privately </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Hardware -- single-handle lever controls; touchless, or motion-activated</w:t>
      </w:r>
    </w:p>
    <w:p w:rsidR="005E1D75" w:rsidRPr="005E1D75" w:rsidRDefault="005E1D75" w:rsidP="005E1D75">
      <w:pPr>
        <w:numPr>
          <w:ilvl w:val="0"/>
          <w:numId w:val="1"/>
        </w:numPr>
        <w:spacing w:before="100" w:beforeAutospacing="1" w:after="100" w:afterAutospacing="1"/>
        <w:ind w:left="945"/>
        <w:rPr>
          <w:rFonts w:ascii="Book Antiqua" w:eastAsia="Book Antiqua" w:hAnsi="Book Antiqua" w:cs="Book Antiqua"/>
        </w:rPr>
      </w:pPr>
      <w:r w:rsidRPr="005E1D75">
        <w:rPr>
          <w:rFonts w:ascii="Book Antiqua" w:eastAsia="Book Antiqua" w:hAnsi="Book Antiqua" w:cs="Book Antiqua"/>
        </w:rPr>
        <w:t>Emergency alerting devices with a loud tone, flashing lights and/or vibrations </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The proposed rules </w:t>
      </w:r>
      <w:proofErr w:type="gramStart"/>
      <w:r>
        <w:rPr>
          <w:rFonts w:ascii="Book Antiqua" w:eastAsia="Book Antiqua" w:hAnsi="Book Antiqua" w:cs="Book Antiqua"/>
        </w:rPr>
        <w:t>should not be adopted</w:t>
      </w:r>
      <w:proofErr w:type="gramEnd"/>
      <w:r>
        <w:rPr>
          <w:rFonts w:ascii="Book Antiqua" w:eastAsia="Book Antiqua" w:hAnsi="Book Antiqua" w:cs="Book Antiqua"/>
        </w:rPr>
        <w:t xml:space="preserve">.  They run contrary to intent of Section 504. They are also unlawful. “Direct final rules” must be routine or noncontroversial.  The proposed rule changes are neither. Instead, the proposals would delete foundational provisions implementing Section 504 in contradiction of Congress’s clear understanding of the law. </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rPr>
      </w:pPr>
      <w:r>
        <w:rPr>
          <w:rFonts w:ascii="Book Antiqua" w:eastAsia="Book Antiqua" w:hAnsi="Book Antiqua" w:cs="Book Antiqua"/>
        </w:rPr>
        <w:t>“[E]</w:t>
      </w:r>
      <w:proofErr w:type="spellStart"/>
      <w:r>
        <w:rPr>
          <w:rFonts w:ascii="Book Antiqua" w:eastAsia="Book Antiqua" w:hAnsi="Book Antiqua" w:cs="Book Antiqua"/>
        </w:rPr>
        <w:t>limination</w:t>
      </w:r>
      <w:proofErr w:type="spellEnd"/>
      <w:r>
        <w:rPr>
          <w:rFonts w:ascii="Book Antiqua" w:eastAsia="Book Antiqua" w:hAnsi="Book Antiqua" w:cs="Book Antiqua"/>
        </w:rPr>
        <w:t xml:space="preserve"> of architectural barriers was one of the central aims of the [Rehabilitation] Act.” </w:t>
      </w:r>
      <w:r>
        <w:rPr>
          <w:rFonts w:ascii="Book Antiqua" w:eastAsia="Book Antiqua" w:hAnsi="Book Antiqua" w:cs="Book Antiqua"/>
          <w:i/>
        </w:rPr>
        <w:t>Alexander v. Choate</w:t>
      </w:r>
      <w:r>
        <w:rPr>
          <w:rFonts w:ascii="Book Antiqua" w:eastAsia="Book Antiqua" w:hAnsi="Book Antiqua" w:cs="Book Antiqua"/>
        </w:rPr>
        <w:t>, 469 U.S. 287, 297 (1985). The requirement that newly constructed and altered facilities be fully accessible to people with disabilities, as measured by applicable access standards, is central to this purpose. As important is the requirement that recipients of federal funds undertake careful accessibility planning to remove barriers in existing buildings.</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rPr>
      </w:pPr>
      <w:r>
        <w:rPr>
          <w:rFonts w:ascii="Book Antiqua" w:eastAsia="Book Antiqua" w:hAnsi="Book Antiqua" w:cs="Book Antiqua"/>
        </w:rPr>
        <w:t xml:space="preserve">In </w:t>
      </w:r>
      <w:proofErr w:type="gramStart"/>
      <w:r>
        <w:rPr>
          <w:rFonts w:ascii="Book Antiqua" w:eastAsia="Book Antiqua" w:hAnsi="Book Antiqua" w:cs="Book Antiqua"/>
        </w:rPr>
        <w:t>2025</w:t>
      </w:r>
      <w:proofErr w:type="gramEnd"/>
      <w:r>
        <w:rPr>
          <w:rFonts w:ascii="Book Antiqua" w:eastAsia="Book Antiqua" w:hAnsi="Book Antiqua" w:cs="Book Antiqua"/>
        </w:rPr>
        <w:t xml:space="preserve"> it is unconscionable that inaccessible new construction would be allowed.  The proposed rules would allow this.  The rules would also upend decades of reliance on established accessibility standards, creating conflicts with other statutory and regulatory standards.</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i/>
          <w:u w:val="single"/>
        </w:rPr>
      </w:pPr>
      <w:r>
        <w:rPr>
          <w:rFonts w:ascii="Book Antiqua" w:eastAsia="Book Antiqua" w:hAnsi="Book Antiqua" w:cs="Book Antiqua"/>
          <w:i/>
          <w:u w:val="single"/>
        </w:rPr>
        <w:t>The Proposed Rules Would Destroy Balanced Rulemaking Approved by Congress</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 </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The rules at issue date back to the coordination regulations adopted by the Department of Health, Education, and Welfare (HEW) in 1978. These rules </w:t>
      </w:r>
      <w:proofErr w:type="gramStart"/>
      <w:r>
        <w:rPr>
          <w:rFonts w:ascii="Book Antiqua" w:eastAsia="Book Antiqua" w:hAnsi="Book Antiqua" w:cs="Book Antiqua"/>
        </w:rPr>
        <w:t>were intended</w:t>
      </w:r>
      <w:proofErr w:type="gramEnd"/>
      <w:r>
        <w:rPr>
          <w:rFonts w:ascii="Book Antiqua" w:eastAsia="Book Antiqua" w:hAnsi="Book Antiqua" w:cs="Book Antiqua"/>
        </w:rPr>
        <w:t xml:space="preserve"> to establish </w:t>
      </w:r>
      <w:r>
        <w:rPr>
          <w:rFonts w:ascii="Book Antiqua" w:eastAsia="Book Antiqua" w:hAnsi="Book Antiqua" w:cs="Book Antiqua"/>
          <w:b/>
        </w:rPr>
        <w:lastRenderedPageBreak/>
        <w:t>minimum standards</w:t>
      </w:r>
      <w:r>
        <w:rPr>
          <w:rFonts w:ascii="Book Antiqua" w:eastAsia="Book Antiqua" w:hAnsi="Book Antiqua" w:cs="Book Antiqua"/>
        </w:rPr>
        <w:t xml:space="preserve"> for implementing Section 504 across the federal government and were based on HEW’s Final Rule for its own recipients finalized in 1977.</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 </w:t>
      </w:r>
    </w:p>
    <w:p w:rsidR="003347A1" w:rsidRDefault="00F84CE3">
      <w:pPr>
        <w:ind w:left="-720"/>
        <w:rPr>
          <w:rFonts w:ascii="Book Antiqua" w:eastAsia="Book Antiqua" w:hAnsi="Book Antiqua" w:cs="Book Antiqua"/>
        </w:rPr>
      </w:pPr>
      <w:r>
        <w:rPr>
          <w:rFonts w:ascii="Book Antiqua" w:eastAsia="Book Antiqua" w:hAnsi="Book Antiqua" w:cs="Book Antiqua"/>
        </w:rPr>
        <w:t>In adopting the 1977 and 1978 rules, HEW consulted extensively with Congress and engaged in multiple rounds of notice and public comment. The final rules carefully balanced the challenge of addressing barriers to people with disabilities in existing buildings with the opportunity for new construction and alterations to achieve greater accessibility going forward.</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 </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The compromise reached – which </w:t>
      </w:r>
      <w:proofErr w:type="gramStart"/>
      <w:r>
        <w:rPr>
          <w:rFonts w:ascii="Book Antiqua" w:eastAsia="Book Antiqua" w:hAnsi="Book Antiqua" w:cs="Book Antiqua"/>
        </w:rPr>
        <w:t>has been adopted</w:t>
      </w:r>
      <w:proofErr w:type="gramEnd"/>
      <w:r>
        <w:rPr>
          <w:rFonts w:ascii="Book Antiqua" w:eastAsia="Book Antiqua" w:hAnsi="Book Antiqua" w:cs="Book Antiqua"/>
        </w:rPr>
        <w:t xml:space="preserve"> by more than 80 federal agencies – was and still is to allow some flexibility with respect to existing buildings, while requiring new facilities to be fully accessible as measured by access standards. Over time, this approach advances Section 504’s goal of reaching a more accessible environment for people with disabilities. </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rPr>
      </w:pPr>
      <w:r>
        <w:rPr>
          <w:rFonts w:ascii="Book Antiqua" w:eastAsia="Book Antiqua" w:hAnsi="Book Antiqua" w:cs="Book Antiqua"/>
        </w:rPr>
        <w:t>Congress has repeatedly reviewed and approved the regulatory standards that DOE now seeks to delete, giving them the force of law.</w:t>
      </w:r>
      <w:r>
        <w:rPr>
          <w:rFonts w:ascii="Book Antiqua" w:eastAsia="Book Antiqua" w:hAnsi="Book Antiqua" w:cs="Book Antiqua"/>
          <w:i/>
        </w:rPr>
        <w:t xml:space="preserve"> Rail Corp. v. </w:t>
      </w:r>
      <w:proofErr w:type="spellStart"/>
      <w:r>
        <w:rPr>
          <w:rFonts w:ascii="Book Antiqua" w:eastAsia="Book Antiqua" w:hAnsi="Book Antiqua" w:cs="Book Antiqua"/>
          <w:i/>
        </w:rPr>
        <w:t>Darrone</w:t>
      </w:r>
      <w:proofErr w:type="spellEnd"/>
      <w:r>
        <w:rPr>
          <w:rFonts w:ascii="Book Antiqua" w:eastAsia="Book Antiqua" w:hAnsi="Book Antiqua" w:cs="Book Antiqua"/>
        </w:rPr>
        <w:t>, 465 U.S. 624, 635 nn.15 &amp; 16 (1984). Federal courts have enforced the rules for decades. DOE may not lawfully eliminate foundational rules for the implementation of Section 504.</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i/>
          <w:u w:val="single"/>
        </w:rPr>
      </w:pPr>
      <w:r>
        <w:rPr>
          <w:rFonts w:ascii="Book Antiqua" w:eastAsia="Book Antiqua" w:hAnsi="Book Antiqua" w:cs="Book Antiqua"/>
          <w:i/>
          <w:u w:val="single"/>
        </w:rPr>
        <w:t>The Proposed Rules Would Undermine Access Standards and Create Conflicts</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rPr>
      </w:pPr>
      <w:r>
        <w:rPr>
          <w:rFonts w:ascii="Book Antiqua" w:eastAsia="Book Antiqua" w:hAnsi="Book Antiqua" w:cs="Book Antiqua"/>
        </w:rPr>
        <w:t xml:space="preserve">Compliance with access standards in new construction and alterations is critical to advancing the goals of Section 504. The deletion of the regulatory reference to the Uniform Federal Accessibility Standards as a measure of compliance would directly undermine the goals of Section 504. Access standards are key to making new construction and alterations accessible. Architects and contractors need a comprehensive set of design rules to ensure that new construction and alterations </w:t>
      </w:r>
      <w:proofErr w:type="gramStart"/>
      <w:r>
        <w:rPr>
          <w:rFonts w:ascii="Book Antiqua" w:eastAsia="Book Antiqua" w:hAnsi="Book Antiqua" w:cs="Book Antiqua"/>
        </w:rPr>
        <w:t>are built</w:t>
      </w:r>
      <w:proofErr w:type="gramEnd"/>
      <w:r>
        <w:rPr>
          <w:rFonts w:ascii="Book Antiqua" w:eastAsia="Book Antiqua" w:hAnsi="Book Antiqua" w:cs="Book Antiqua"/>
        </w:rPr>
        <w:t xml:space="preserve"> to be fully accessible to people with disabilities. Accessibility is often a matter of inches, making the difference between inclusion and exclusion of people with disabilities. Without access standards, we will never reach the fully inclusive society intended by Congress in enacting and reenacting Section 504.</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rPr>
      </w:pPr>
      <w:r>
        <w:rPr>
          <w:rFonts w:ascii="Book Antiqua" w:eastAsia="Book Antiqua" w:hAnsi="Book Antiqua" w:cs="Book Antiqua"/>
        </w:rPr>
        <w:t>The rules would also create conflicting enforcement standards: recipients of federal financial assistance from the DOE include many entities that receive funding from other federal departments and agencies, and/or that are subject to the requirements of the ADA. These recipients would be required to comply with access standards due to their other funding or under the ADA but would remain open to liability under the general nondiscrimination language at section 1040.71.</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i/>
          <w:u w:val="single"/>
        </w:rPr>
      </w:pPr>
      <w:r>
        <w:rPr>
          <w:rFonts w:ascii="Book Antiqua" w:eastAsia="Book Antiqua" w:hAnsi="Book Antiqua" w:cs="Book Antiqua"/>
          <w:i/>
          <w:u w:val="single"/>
        </w:rPr>
        <w:t>The Rulemaking is Unlawful and Must Be Withdrawn</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rPr>
      </w:pPr>
      <w:r>
        <w:rPr>
          <w:rFonts w:ascii="Book Antiqua" w:eastAsia="Book Antiqua" w:hAnsi="Book Antiqua" w:cs="Book Antiqua"/>
        </w:rPr>
        <w:t xml:space="preserve">The careful compromise reached by agencies and Congress – to require that new construction and alteration be fully accessible, while imposing a more flexible standard for existing facilities </w:t>
      </w:r>
      <w:r>
        <w:rPr>
          <w:rFonts w:ascii="Book Antiqua" w:eastAsia="Book Antiqua" w:hAnsi="Book Antiqua" w:cs="Book Antiqua"/>
        </w:rPr>
        <w:lastRenderedPageBreak/>
        <w:t xml:space="preserve">– would be destroyed by the proposed “direct final rules.” Ensuring that new construction and alterations are fully accessible to people with disabilities is critical to advancing the goals of Section 504 of the Rehabilitation Act. </w:t>
      </w:r>
    </w:p>
    <w:p w:rsidR="003347A1" w:rsidRDefault="00F84CE3">
      <w:pPr>
        <w:ind w:left="-720"/>
        <w:rPr>
          <w:rFonts w:ascii="Book Antiqua" w:eastAsia="Book Antiqua" w:hAnsi="Book Antiqua" w:cs="Book Antiqua"/>
        </w:rPr>
      </w:pPr>
      <w:r>
        <w:rPr>
          <w:rFonts w:ascii="Book Antiqua" w:eastAsia="Book Antiqua" w:hAnsi="Book Antiqua" w:cs="Book Antiqua"/>
        </w:rPr>
        <w:t xml:space="preserve"> </w:t>
      </w:r>
    </w:p>
    <w:p w:rsidR="003347A1" w:rsidRDefault="00F84CE3">
      <w:pPr>
        <w:ind w:left="-720"/>
        <w:rPr>
          <w:rFonts w:ascii="Book Antiqua" w:eastAsia="Book Antiqua" w:hAnsi="Book Antiqua" w:cs="Book Antiqua"/>
        </w:rPr>
      </w:pPr>
      <w:r>
        <w:rPr>
          <w:rFonts w:ascii="Book Antiqua" w:eastAsia="Book Antiqua" w:hAnsi="Book Antiqua" w:cs="Book Antiqua"/>
        </w:rPr>
        <w:t>The rulemaking is unlawful and must be withdrawn.</w:t>
      </w:r>
    </w:p>
    <w:p w:rsidR="003347A1" w:rsidRDefault="003347A1">
      <w:pPr>
        <w:ind w:left="-720"/>
        <w:rPr>
          <w:rFonts w:ascii="Book Antiqua" w:eastAsia="Book Antiqua" w:hAnsi="Book Antiqua" w:cs="Book Antiqua"/>
        </w:rPr>
      </w:pPr>
    </w:p>
    <w:p w:rsidR="003347A1" w:rsidRDefault="00F84CE3">
      <w:pPr>
        <w:ind w:left="-720"/>
        <w:rPr>
          <w:rFonts w:ascii="Book Antiqua" w:eastAsia="Book Antiqua" w:hAnsi="Book Antiqua" w:cs="Book Antiqua"/>
        </w:rPr>
      </w:pPr>
      <w:r>
        <w:rPr>
          <w:rFonts w:ascii="Book Antiqua" w:eastAsia="Book Antiqua" w:hAnsi="Book Antiqua" w:cs="Book Antiqua"/>
        </w:rPr>
        <w:t>Respectfully,</w:t>
      </w:r>
    </w:p>
    <w:p w:rsidR="003347A1" w:rsidRDefault="003347A1">
      <w:pPr>
        <w:pBdr>
          <w:top w:val="nil"/>
          <w:left w:val="nil"/>
          <w:bottom w:val="nil"/>
          <w:right w:val="nil"/>
          <w:between w:val="nil"/>
        </w:pBdr>
        <w:ind w:left="-720"/>
        <w:rPr>
          <w:rFonts w:ascii="Book Antiqua" w:eastAsia="Book Antiqua" w:hAnsi="Book Antiqua" w:cs="Book Antiqua"/>
          <w:color w:val="000000"/>
        </w:rPr>
      </w:pPr>
    </w:p>
    <w:p w:rsidR="003347A1" w:rsidRDefault="003347A1">
      <w:pPr>
        <w:pBdr>
          <w:top w:val="nil"/>
          <w:left w:val="nil"/>
          <w:bottom w:val="nil"/>
          <w:right w:val="nil"/>
          <w:between w:val="nil"/>
        </w:pBdr>
        <w:ind w:left="-720"/>
        <w:rPr>
          <w:rFonts w:ascii="Book Antiqua" w:eastAsia="Book Antiqua" w:hAnsi="Book Antiqua" w:cs="Book Antiqua"/>
          <w:color w:val="000000"/>
        </w:rPr>
      </w:pPr>
    </w:p>
    <w:p w:rsidR="003347A1" w:rsidRDefault="003347A1">
      <w:pPr>
        <w:pBdr>
          <w:top w:val="nil"/>
          <w:left w:val="nil"/>
          <w:bottom w:val="nil"/>
          <w:right w:val="nil"/>
          <w:between w:val="nil"/>
        </w:pBdr>
        <w:ind w:left="-720"/>
        <w:rPr>
          <w:rFonts w:ascii="Book Antiqua" w:eastAsia="Book Antiqua" w:hAnsi="Book Antiqua" w:cs="Book Antiqua"/>
          <w:color w:val="000000"/>
        </w:rPr>
      </w:pPr>
    </w:p>
    <w:p w:rsidR="003347A1" w:rsidRDefault="00F84CE3">
      <w:pPr>
        <w:pBdr>
          <w:top w:val="nil"/>
          <w:left w:val="nil"/>
          <w:bottom w:val="nil"/>
          <w:right w:val="nil"/>
          <w:between w:val="nil"/>
        </w:pBdr>
        <w:ind w:left="-720"/>
        <w:rPr>
          <w:rFonts w:ascii="Book Antiqua" w:eastAsia="Book Antiqua" w:hAnsi="Book Antiqua" w:cs="Book Antiqua"/>
          <w:color w:val="000000"/>
        </w:rPr>
      </w:pPr>
      <w:r>
        <w:rPr>
          <w:rFonts w:ascii="Book Antiqua" w:eastAsia="Book Antiqua" w:hAnsi="Book Antiqua" w:cs="Book Antiqua"/>
          <w:color w:val="000000"/>
        </w:rPr>
        <w:t xml:space="preserve">Sarah Sampson </w:t>
      </w:r>
    </w:p>
    <w:p w:rsidR="003347A1" w:rsidRDefault="00F84CE3">
      <w:pPr>
        <w:pBdr>
          <w:top w:val="nil"/>
          <w:left w:val="nil"/>
          <w:bottom w:val="nil"/>
          <w:right w:val="nil"/>
          <w:between w:val="nil"/>
        </w:pBdr>
        <w:ind w:left="-720"/>
        <w:rPr>
          <w:rFonts w:ascii="Book Antiqua" w:eastAsia="Book Antiqua" w:hAnsi="Book Antiqua" w:cs="Book Antiqua"/>
          <w:color w:val="000000"/>
        </w:rPr>
      </w:pPr>
      <w:r>
        <w:rPr>
          <w:rFonts w:ascii="Book Antiqua" w:eastAsia="Book Antiqua" w:hAnsi="Book Antiqua" w:cs="Book Antiqua"/>
          <w:color w:val="000000"/>
        </w:rPr>
        <w:t>Executive Director</w:t>
      </w:r>
    </w:p>
    <w:p w:rsidR="003347A1" w:rsidRDefault="003347A1">
      <w:pPr>
        <w:ind w:left="-720"/>
        <w:rPr>
          <w:rFonts w:ascii="Book Antiqua" w:eastAsia="Book Antiqua" w:hAnsi="Book Antiqua" w:cs="Book Antiqua"/>
        </w:rPr>
      </w:pPr>
    </w:p>
    <w:sectPr w:rsidR="003347A1">
      <w:headerReference w:type="default" r:id="rId15"/>
      <w:footerReference w:type="defaul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3CC" w:rsidRDefault="004E33CC">
      <w:r>
        <w:separator/>
      </w:r>
    </w:p>
  </w:endnote>
  <w:endnote w:type="continuationSeparator" w:id="0">
    <w:p w:rsidR="004E33CC" w:rsidRDefault="004E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A1" w:rsidRDefault="00F84CE3">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E4755">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rsidR="003347A1" w:rsidRDefault="003347A1">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3CC" w:rsidRDefault="004E33CC">
      <w:r>
        <w:separator/>
      </w:r>
    </w:p>
  </w:footnote>
  <w:footnote w:type="continuationSeparator" w:id="0">
    <w:p w:rsidR="004E33CC" w:rsidRDefault="004E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A1" w:rsidRDefault="00F84CE3">
    <w:pPr>
      <w:jc w:val="right"/>
      <w:rPr>
        <w:rFonts w:ascii="Times New Roman" w:eastAsia="Times New Roman" w:hAnsi="Times New Roman" w:cs="Times New Roman"/>
        <w:i/>
      </w:rPr>
    </w:pPr>
    <w:r>
      <w:rPr>
        <w:rFonts w:ascii="Times New Roman" w:eastAsia="Times New Roman" w:hAnsi="Times New Roman" w:cs="Times New Roman"/>
        <w:i/>
      </w:rPr>
      <w:t>Comments on DOE-HQ-2025-0015 and DOE-HQ-2025-0024</w:t>
    </w:r>
  </w:p>
  <w:p w:rsidR="003347A1" w:rsidRDefault="00F84CE3">
    <w:pPr>
      <w:pBdr>
        <w:top w:val="nil"/>
        <w:left w:val="nil"/>
        <w:bottom w:val="nil"/>
        <w:right w:val="nil"/>
        <w:between w:val="nil"/>
      </w:pBdr>
      <w:tabs>
        <w:tab w:val="center" w:pos="4680"/>
        <w:tab w:val="right" w:pos="9360"/>
      </w:tabs>
      <w:rPr>
        <w:color w:val="000000"/>
      </w:rPr>
    </w:pPr>
    <w:r>
      <w:rPr>
        <w:rFonts w:ascii="Times New Roman" w:eastAsia="Times New Roman" w:hAnsi="Times New Roman" w:cs="Times New Roman"/>
        <w:i/>
        <w:color w:val="000000"/>
      </w:rPr>
      <w:tab/>
    </w:r>
    <w:r>
      <w:rPr>
        <w:rFonts w:ascii="Times New Roman" w:eastAsia="Times New Roman" w:hAnsi="Times New Roman" w:cs="Times New Roman"/>
        <w:i/>
        <w:color w:val="000000"/>
      </w:rPr>
      <w:tab/>
      <w:t xml:space="preserve">May 29, 2025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65505"/>
    <w:multiLevelType w:val="multilevel"/>
    <w:tmpl w:val="E5E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A1"/>
    <w:rsid w:val="003347A1"/>
    <w:rsid w:val="003E4755"/>
    <w:rsid w:val="004E33CC"/>
    <w:rsid w:val="005E1D75"/>
    <w:rsid w:val="00E5317D"/>
    <w:rsid w:val="00F8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3F21"/>
  <w15:docId w15:val="{2D7F0173-9335-4B88-A024-861DA157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1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0C4DE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F24C6"/>
    <w:rPr>
      <w:color w:val="0563C1" w:themeColor="hyperlink"/>
      <w:u w:val="single"/>
    </w:rPr>
  </w:style>
  <w:style w:type="character" w:customStyle="1" w:styleId="UnresolvedMention1">
    <w:name w:val="Unresolved Mention1"/>
    <w:basedOn w:val="DefaultParagraphFont"/>
    <w:uiPriority w:val="99"/>
    <w:rsid w:val="00FF24C6"/>
    <w:rPr>
      <w:color w:val="605E5C"/>
      <w:shd w:val="clear" w:color="auto" w:fill="E1DFDD"/>
    </w:rPr>
  </w:style>
  <w:style w:type="paragraph" w:styleId="NormalWeb">
    <w:name w:val="Normal (Web)"/>
    <w:basedOn w:val="Normal"/>
    <w:uiPriority w:val="99"/>
    <w:unhideWhenUsed/>
    <w:rsid w:val="00CD54B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D0E54"/>
  </w:style>
  <w:style w:type="character" w:styleId="FollowedHyperlink">
    <w:name w:val="FollowedHyperlink"/>
    <w:basedOn w:val="DefaultParagraphFont"/>
    <w:uiPriority w:val="99"/>
    <w:semiHidden/>
    <w:unhideWhenUsed/>
    <w:rsid w:val="00B92E1A"/>
    <w:rPr>
      <w:color w:val="954F72" w:themeColor="followedHyperlink"/>
      <w:u w:val="single"/>
    </w:rPr>
  </w:style>
  <w:style w:type="paragraph" w:styleId="ListParagraph">
    <w:name w:val="List Paragraph"/>
    <w:basedOn w:val="Normal"/>
    <w:rsid w:val="00B8376B"/>
    <w:pPr>
      <w:ind w:left="720"/>
      <w:contextualSpacing/>
    </w:pPr>
    <w:rPr>
      <w:rFonts w:ascii="Garamond" w:eastAsia="Times New Roman" w:hAnsi="Garamond" w:cs="Times New Roman"/>
    </w:rPr>
  </w:style>
  <w:style w:type="paragraph" w:styleId="Header">
    <w:name w:val="header"/>
    <w:basedOn w:val="Normal"/>
    <w:link w:val="HeaderChar"/>
    <w:uiPriority w:val="99"/>
    <w:unhideWhenUsed/>
    <w:rsid w:val="009A6396"/>
    <w:pPr>
      <w:tabs>
        <w:tab w:val="center" w:pos="4680"/>
        <w:tab w:val="right" w:pos="9360"/>
      </w:tabs>
    </w:pPr>
  </w:style>
  <w:style w:type="character" w:customStyle="1" w:styleId="HeaderChar">
    <w:name w:val="Header Char"/>
    <w:basedOn w:val="DefaultParagraphFont"/>
    <w:link w:val="Header"/>
    <w:uiPriority w:val="99"/>
    <w:rsid w:val="009A6396"/>
  </w:style>
  <w:style w:type="paragraph" w:styleId="Footer">
    <w:name w:val="footer"/>
    <w:basedOn w:val="Normal"/>
    <w:link w:val="FooterChar"/>
    <w:uiPriority w:val="99"/>
    <w:unhideWhenUsed/>
    <w:rsid w:val="009A6396"/>
    <w:pPr>
      <w:tabs>
        <w:tab w:val="center" w:pos="4680"/>
        <w:tab w:val="right" w:pos="9360"/>
      </w:tabs>
    </w:pPr>
  </w:style>
  <w:style w:type="character" w:customStyle="1" w:styleId="FooterChar">
    <w:name w:val="Footer Char"/>
    <w:basedOn w:val="DefaultParagraphFont"/>
    <w:link w:val="Footer"/>
    <w:uiPriority w:val="99"/>
    <w:rsid w:val="009A6396"/>
  </w:style>
  <w:style w:type="paragraph" w:styleId="FootnoteText">
    <w:name w:val="footnote text"/>
    <w:basedOn w:val="Normal"/>
    <w:link w:val="FootnoteTextChar"/>
    <w:uiPriority w:val="99"/>
    <w:semiHidden/>
    <w:unhideWhenUsed/>
    <w:rsid w:val="00962A8C"/>
    <w:rPr>
      <w:sz w:val="20"/>
      <w:szCs w:val="20"/>
    </w:rPr>
  </w:style>
  <w:style w:type="character" w:customStyle="1" w:styleId="FootnoteTextChar">
    <w:name w:val="Footnote Text Char"/>
    <w:basedOn w:val="DefaultParagraphFont"/>
    <w:link w:val="FootnoteText"/>
    <w:uiPriority w:val="99"/>
    <w:semiHidden/>
    <w:rsid w:val="00962A8C"/>
    <w:rPr>
      <w:sz w:val="20"/>
      <w:szCs w:val="20"/>
    </w:rPr>
  </w:style>
  <w:style w:type="character" w:styleId="FootnoteReference">
    <w:name w:val="footnote reference"/>
    <w:basedOn w:val="DefaultParagraphFont"/>
    <w:uiPriority w:val="99"/>
    <w:semiHidden/>
    <w:unhideWhenUsed/>
    <w:rsid w:val="00962A8C"/>
    <w:rPr>
      <w:vertAlign w:val="superscript"/>
    </w:rPr>
  </w:style>
  <w:style w:type="character" w:styleId="Emphasis">
    <w:name w:val="Emphasis"/>
    <w:basedOn w:val="DefaultParagraphFont"/>
    <w:uiPriority w:val="20"/>
    <w:qFormat/>
    <w:rsid w:val="005F59A1"/>
    <w:rPr>
      <w:i/>
      <w:iCs/>
    </w:rPr>
  </w:style>
  <w:style w:type="character" w:customStyle="1" w:styleId="UnresolvedMention2">
    <w:name w:val="Unresolved Mention2"/>
    <w:basedOn w:val="DefaultParagraphFont"/>
    <w:uiPriority w:val="99"/>
    <w:semiHidden/>
    <w:unhideWhenUsed/>
    <w:rsid w:val="005B587A"/>
    <w:rPr>
      <w:color w:val="605E5C"/>
      <w:shd w:val="clear" w:color="auto" w:fill="E1DFDD"/>
    </w:rPr>
  </w:style>
  <w:style w:type="character" w:styleId="CommentReference">
    <w:name w:val="annotation reference"/>
    <w:basedOn w:val="DefaultParagraphFont"/>
    <w:uiPriority w:val="99"/>
    <w:semiHidden/>
    <w:unhideWhenUsed/>
    <w:rsid w:val="00FE75A9"/>
    <w:rPr>
      <w:sz w:val="16"/>
      <w:szCs w:val="16"/>
    </w:rPr>
  </w:style>
  <w:style w:type="paragraph" w:styleId="CommentText">
    <w:name w:val="annotation text"/>
    <w:basedOn w:val="Normal"/>
    <w:link w:val="CommentTextChar"/>
    <w:uiPriority w:val="99"/>
    <w:semiHidden/>
    <w:unhideWhenUsed/>
    <w:rsid w:val="00FE75A9"/>
    <w:rPr>
      <w:sz w:val="20"/>
      <w:szCs w:val="20"/>
    </w:rPr>
  </w:style>
  <w:style w:type="character" w:customStyle="1" w:styleId="CommentTextChar">
    <w:name w:val="Comment Text Char"/>
    <w:basedOn w:val="DefaultParagraphFont"/>
    <w:link w:val="CommentText"/>
    <w:uiPriority w:val="99"/>
    <w:semiHidden/>
    <w:rsid w:val="00FE75A9"/>
    <w:rPr>
      <w:sz w:val="20"/>
      <w:szCs w:val="20"/>
    </w:rPr>
  </w:style>
  <w:style w:type="paragraph" w:styleId="CommentSubject">
    <w:name w:val="annotation subject"/>
    <w:basedOn w:val="CommentText"/>
    <w:next w:val="CommentText"/>
    <w:link w:val="CommentSubjectChar"/>
    <w:uiPriority w:val="99"/>
    <w:semiHidden/>
    <w:unhideWhenUsed/>
    <w:rsid w:val="00FE75A9"/>
    <w:rPr>
      <w:b/>
      <w:bCs/>
    </w:rPr>
  </w:style>
  <w:style w:type="character" w:customStyle="1" w:styleId="CommentSubjectChar">
    <w:name w:val="Comment Subject Char"/>
    <w:basedOn w:val="CommentTextChar"/>
    <w:link w:val="CommentSubject"/>
    <w:uiPriority w:val="99"/>
    <w:semiHidden/>
    <w:rsid w:val="00FE75A9"/>
    <w:rPr>
      <w:b/>
      <w:bCs/>
      <w:sz w:val="20"/>
      <w:szCs w:val="20"/>
    </w:rPr>
  </w:style>
  <w:style w:type="paragraph" w:styleId="BalloonText">
    <w:name w:val="Balloon Text"/>
    <w:basedOn w:val="Normal"/>
    <w:link w:val="BalloonTextChar"/>
    <w:uiPriority w:val="99"/>
    <w:semiHidden/>
    <w:unhideWhenUsed/>
    <w:rsid w:val="00FE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5A9"/>
    <w:rPr>
      <w:rFonts w:ascii="Segoe UI" w:hAnsi="Segoe UI" w:cs="Segoe UI"/>
      <w:sz w:val="18"/>
      <w:szCs w:val="18"/>
    </w:rPr>
  </w:style>
  <w:style w:type="character" w:styleId="HTMLCite">
    <w:name w:val="HTML Cite"/>
    <w:basedOn w:val="DefaultParagraphFont"/>
    <w:uiPriority w:val="99"/>
    <w:semiHidden/>
    <w:unhideWhenUsed/>
    <w:rsid w:val="007272E4"/>
    <w:rPr>
      <w:i/>
      <w:iCs/>
    </w:rPr>
  </w:style>
  <w:style w:type="paragraph" w:customStyle="1" w:styleId="Default">
    <w:name w:val="Default"/>
    <w:rsid w:val="008752E5"/>
    <w:pPr>
      <w:autoSpaceDE w:val="0"/>
      <w:autoSpaceDN w:val="0"/>
      <w:adjustRightInd w:val="0"/>
    </w:pPr>
    <w:rPr>
      <w:rFonts w:ascii="Arial" w:eastAsia="Times New Roman" w:hAnsi="Arial" w:cs="Arial"/>
      <w:color w:val="000000"/>
    </w:rPr>
  </w:style>
  <w:style w:type="character" w:customStyle="1" w:styleId="UnresolvedMention3">
    <w:name w:val="Unresolved Mention3"/>
    <w:basedOn w:val="DefaultParagraphFont"/>
    <w:uiPriority w:val="99"/>
    <w:semiHidden/>
    <w:unhideWhenUsed/>
    <w:rsid w:val="000C4DE7"/>
    <w:rPr>
      <w:color w:val="605E5C"/>
      <w:shd w:val="clear" w:color="auto" w:fill="E1DFDD"/>
    </w:rPr>
  </w:style>
  <w:style w:type="character" w:customStyle="1" w:styleId="Heading3Char">
    <w:name w:val="Heading 3 Char"/>
    <w:basedOn w:val="DefaultParagraphFont"/>
    <w:link w:val="Heading3"/>
    <w:uiPriority w:val="9"/>
    <w:rsid w:val="000C4DE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0B1595"/>
    <w:rPr>
      <w:rFonts w:asciiTheme="majorHAnsi" w:eastAsiaTheme="majorEastAsia" w:hAnsiTheme="majorHAnsi" w:cstheme="majorBidi"/>
      <w:color w:val="2E74B5" w:themeColor="accent1" w:themeShade="BF"/>
      <w:sz w:val="32"/>
      <w:szCs w:val="32"/>
    </w:rPr>
  </w:style>
  <w:style w:type="paragraph" w:customStyle="1" w:styleId="volume-issue">
    <w:name w:val="volume-issue"/>
    <w:basedOn w:val="Normal"/>
    <w:rsid w:val="000B1595"/>
    <w:pPr>
      <w:spacing w:before="100" w:beforeAutospacing="1" w:after="100" w:afterAutospacing="1"/>
    </w:pPr>
    <w:rPr>
      <w:rFonts w:ascii="Times New Roman" w:eastAsia="Times New Roman" w:hAnsi="Times New Roman" w:cs="Times New Roman"/>
    </w:rPr>
  </w:style>
  <w:style w:type="character" w:customStyle="1" w:styleId="val">
    <w:name w:val="val"/>
    <w:basedOn w:val="DefaultParagraphFont"/>
    <w:rsid w:val="000B1595"/>
  </w:style>
  <w:style w:type="paragraph" w:customStyle="1" w:styleId="page-range">
    <w:name w:val="page-range"/>
    <w:basedOn w:val="Normal"/>
    <w:rsid w:val="000B1595"/>
    <w:pPr>
      <w:spacing w:before="100" w:beforeAutospacing="1" w:after="100" w:afterAutospacing="1"/>
    </w:pPr>
    <w:rPr>
      <w:rFonts w:ascii="Times New Roman" w:eastAsia="Times New Roman" w:hAnsi="Times New Roman" w:cs="Times New Roman"/>
    </w:rPr>
  </w:style>
  <w:style w:type="character" w:customStyle="1" w:styleId="balancedheadline">
    <w:name w:val="balancedheadline"/>
    <w:basedOn w:val="DefaultParagraphFont"/>
    <w:rsid w:val="00DA6E89"/>
  </w:style>
  <w:style w:type="paragraph" w:customStyle="1" w:styleId="css-1fv7b6t">
    <w:name w:val="css-1fv7b6t"/>
    <w:basedOn w:val="Normal"/>
    <w:rsid w:val="00DA6E89"/>
    <w:pPr>
      <w:spacing w:before="100" w:beforeAutospacing="1" w:after="100" w:afterAutospacing="1"/>
    </w:pPr>
    <w:rPr>
      <w:rFonts w:ascii="Times New Roman" w:eastAsia="Times New Roman" w:hAnsi="Times New Roman" w:cs="Times New Roman"/>
    </w:rPr>
  </w:style>
  <w:style w:type="character" w:customStyle="1" w:styleId="css-1baulvz">
    <w:name w:val="css-1baulvz"/>
    <w:basedOn w:val="DefaultParagraphFont"/>
    <w:rsid w:val="00DA6E89"/>
  </w:style>
  <w:style w:type="character" w:customStyle="1" w:styleId="UnresolvedMention">
    <w:name w:val="Unresolved Mention"/>
    <w:basedOn w:val="DefaultParagraphFont"/>
    <w:uiPriority w:val="99"/>
    <w:semiHidden/>
    <w:unhideWhenUsed/>
    <w:rsid w:val="00B4142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9463">
      <w:bodyDiv w:val="1"/>
      <w:marLeft w:val="0"/>
      <w:marRight w:val="0"/>
      <w:marTop w:val="0"/>
      <w:marBottom w:val="0"/>
      <w:divBdr>
        <w:top w:val="none" w:sz="0" w:space="0" w:color="auto"/>
        <w:left w:val="none" w:sz="0" w:space="0" w:color="auto"/>
        <w:bottom w:val="none" w:sz="0" w:space="0" w:color="auto"/>
        <w:right w:val="none" w:sz="0" w:space="0" w:color="auto"/>
      </w:divBdr>
    </w:div>
    <w:div w:id="2102556546">
      <w:bodyDiv w:val="1"/>
      <w:marLeft w:val="0"/>
      <w:marRight w:val="0"/>
      <w:marTop w:val="0"/>
      <w:marBottom w:val="0"/>
      <w:divBdr>
        <w:top w:val="none" w:sz="0" w:space="0" w:color="auto"/>
        <w:left w:val="none" w:sz="0" w:space="0" w:color="auto"/>
        <w:bottom w:val="none" w:sz="0" w:space="0" w:color="auto"/>
        <w:right w:val="none" w:sz="0" w:space="0" w:color="auto"/>
      </w:divBdr>
      <w:divsChild>
        <w:div w:id="1661226629">
          <w:marLeft w:val="0"/>
          <w:marRight w:val="0"/>
          <w:marTop w:val="0"/>
          <w:marBottom w:val="0"/>
          <w:divBdr>
            <w:top w:val="none" w:sz="0" w:space="0" w:color="auto"/>
            <w:left w:val="none" w:sz="0" w:space="0" w:color="auto"/>
            <w:bottom w:val="none" w:sz="0" w:space="0" w:color="auto"/>
            <w:right w:val="none" w:sz="0" w:space="0" w:color="auto"/>
          </w:divBdr>
        </w:div>
        <w:div w:id="1793741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ederalregister.gov/documents/2025/05/16/2025-08593/rescinding-regulations-related-to-nondiscrimination-in-federally-assisted-programs-or-activ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EGeneralCounsel@hq.do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ument/DOE-HQ-2025-0024-00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gulations.gov/document/DOE-HQ-2025-0015-0001"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hyperlink" Target="https://www.federalregister.gov/documents/2025/05/16/2025-08535/rescinding-new-construction-requirements-related-to-nondiscrimination-in-federally-assisted-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P4ymbdJA/qeMM8GIp3r9pafw==">CgMxLjA4AHIhMVZ1QkpSdGllWm12SGJEUU9iT0kyX3h0bjN0OGJ4S1VN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Carol Westlake</cp:lastModifiedBy>
  <cp:revision>5</cp:revision>
  <cp:lastPrinted>2025-06-09T19:18:00Z</cp:lastPrinted>
  <dcterms:created xsi:type="dcterms:W3CDTF">2025-05-29T15:49:00Z</dcterms:created>
  <dcterms:modified xsi:type="dcterms:W3CDTF">2025-06-09T19:18:00Z</dcterms:modified>
</cp:coreProperties>
</file>