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6"/>
          <w:szCs w:val="36"/>
          <w:u w:val="single"/>
        </w:rPr>
      </w:pPr>
      <w:r w:rsidDel="00000000" w:rsidR="00000000" w:rsidRPr="00000000">
        <w:rPr>
          <w:b w:val="1"/>
          <w:bCs w:val="1"/>
          <w:sz w:val="36"/>
          <w:szCs w:val="36"/>
          <w:u w:val="single"/>
          <w:rtl w:val="0"/>
        </w:rPr>
        <w:t xml:space="preserve">2025 Tennessee Disability Scorecard</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 marks the fourth year of publication of the Tennessee Disability Scorecard. In many ways 2025 is a year unlike the others. Uncertainty about programs, and funding at the Federal level create new challenges for the state. Federal funding makes up nearly 42% of the state’s budget. The percentage of Federal funding is even higher for many of the programs and services needed by people with disabilities. Federal funds make up 93.4% of Human Services funding, 61% of the TennCare Bureau, and 57.8% of the Health Department. Reductions in federal funding for some programs have already taken place.  In addition to the impacts to the state budget and programs, the federal budget bill passed in 2025 comes with other potential hits to financial stability and independence for many Tennesseans with disabilities, making the state’s response even more important.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has seen its scorecard grade drop from a D+ in 2022 to a D in 2024. This reflected not only the everyday experiences of Tennesseans with disabilities, but also the lack of urgency and progress made by our state’s lawmakers and state agencies in improving their lives. Sadly, 2025 is not very different.</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year the scorecard includes “homework”, offering a path forward to our state’s decision makers to improve their grade while improving the lives of Tennesseans with disabilities. This year the General Assembly, Governor’s office and state agencies</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did make some progress on the homework. That progress is outlined below.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tbl>
      <w:tblPr>
        <w:tblStyle w:val="Table1"/>
        <w:tblW w:w="100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7.0000000000002"/>
        <w:gridCol w:w="2298"/>
        <w:gridCol w:w="1125"/>
        <w:gridCol w:w="4935"/>
        <w:tblGridChange w:id="0">
          <w:tblGrid>
            <w:gridCol w:w="1737.0000000000002"/>
            <w:gridCol w:w="2298"/>
            <w:gridCol w:w="1125"/>
            <w:gridCol w:w="4935"/>
          </w:tblGrid>
        </w:tblGridChange>
      </w:tblGrid>
      <w:tr>
        <w:trPr>
          <w:cantSplit w:val="0"/>
          <w:tblHeader w:val="0"/>
        </w:trPr>
        <w:tc>
          <w:tcPr>
            <w:shd w:fill="e7e6e6" w:val="clear"/>
          </w:tcPr>
          <w:p w:rsidR="00000000" w:rsidDel="00000000" w:rsidP="00000000" w:rsidRDefault="00000000" w:rsidRPr="00000000" w14:paraId="0000000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w:t>
            </w:r>
          </w:p>
        </w:tc>
        <w:tc>
          <w:tcPr>
            <w:shd w:fill="e7e6e6" w:val="clear"/>
          </w:tcPr>
          <w:p w:rsidR="00000000" w:rsidDel="00000000" w:rsidP="00000000" w:rsidRDefault="00000000" w:rsidRPr="00000000" w14:paraId="0000000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2024 Homework</w:t>
            </w:r>
          </w:p>
        </w:tc>
        <w:tc>
          <w:tcPr>
            <w:shd w:fill="e7e6e6" w:val="clear"/>
          </w:tcPr>
          <w:p w:rsidR="00000000" w:rsidDel="00000000" w:rsidP="00000000" w:rsidRDefault="00000000" w:rsidRPr="00000000" w14:paraId="0000000C">
            <w:pPr>
              <w:jc w:val="center"/>
              <w:rPr>
                <w:rFonts w:ascii="Times New Roman" w:cs="Times New Roman" w:eastAsia="Times New Roman" w:hAnsi="Times New Roman"/>
                <w:b w:val="1"/>
                <w:bCs w:val="1"/>
              </w:rPr>
            </w:pPr>
            <w:r w:rsidDel="00000000" w:rsidR="00000000" w:rsidRPr="00000000">
              <w:rPr>
                <w:rtl w:val="0"/>
              </w:rPr>
            </w:r>
          </w:p>
        </w:tc>
        <w:tc>
          <w:tcPr>
            <w:shd w:fill="e7e6e6" w:val="clear"/>
          </w:tcPr>
          <w:p w:rsidR="00000000" w:rsidDel="00000000" w:rsidP="00000000" w:rsidRDefault="00000000" w:rsidRPr="00000000" w14:paraId="0000000D">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Progress</w:t>
            </w:r>
          </w:p>
        </w:tc>
      </w:tr>
      <w:tr>
        <w:trPr>
          <w:cantSplit w:val="0"/>
          <w:trHeight w:val="1520" w:hRule="atLeast"/>
          <w:tblHeader w:val="0"/>
        </w:trPr>
        <w:tc>
          <w:tcPr>
            <w:vMerge w:val="restart"/>
            <w:vAlign w:val="center"/>
          </w:tcPr>
          <w:p w:rsidR="00000000" w:rsidDel="00000000" w:rsidP="00000000" w:rsidRDefault="00000000" w:rsidRPr="00000000" w14:paraId="000000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Family Caregiver Support</w:t>
            </w:r>
          </w:p>
          <w:p w:rsidR="00000000" w:rsidDel="00000000" w:rsidP="00000000" w:rsidRDefault="00000000" w:rsidRPr="00000000" w14:paraId="0000000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F</w:t>
            </w:r>
          </w:p>
        </w:tc>
        <w:tc>
          <w:tcPr>
            <w:gridSpan w:val="2"/>
          </w:tcPr>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Compensate: </w:t>
            </w:r>
            <w:r w:rsidDel="00000000" w:rsidR="00000000" w:rsidRPr="00000000">
              <w:rPr>
                <w:rFonts w:ascii="Times New Roman" w:cs="Times New Roman" w:eastAsia="Times New Roman" w:hAnsi="Times New Roman"/>
                <w:rtl w:val="0"/>
              </w:rPr>
              <w:t xml:space="preserve">Enact a comprehensive, statewide paid family caregiving program and policy.</w:t>
            </w:r>
          </w:p>
        </w:tc>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General Assembly passed HB0712/SB1178, a bill that prohibits discrimination against family caregivers in the ability for provider agencies to hire them. Tennessee has still not established a codified program, unlike 19 other states.</w:t>
            </w:r>
          </w:p>
        </w:tc>
      </w:tr>
      <w:tr>
        <w:trPr>
          <w:cantSplit w:val="0"/>
          <w:trHeight w:val="1601" w:hRule="atLeast"/>
          <w:tblHeader w:val="0"/>
        </w:trPr>
        <w:tc>
          <w:tcPr>
            <w:vMerge w:val="continue"/>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Protect: </w:t>
            </w:r>
            <w:r w:rsidDel="00000000" w:rsidR="00000000" w:rsidRPr="00000000">
              <w:rPr>
                <w:rFonts w:ascii="Times New Roman" w:cs="Times New Roman" w:eastAsia="Times New Roman" w:hAnsi="Times New Roman"/>
                <w:rtl w:val="0"/>
              </w:rPr>
              <w:t xml:space="preserve">Fully fund conservatorship and supported decision-making services for Tennessee caregivers with loved ones enrolled in the state’s waiver programs.</w:t>
            </w:r>
          </w:p>
        </w:tc>
        <w:tc>
          <w:tcPr/>
          <w:p w:rsidR="00000000" w:rsidDel="00000000" w:rsidP="00000000" w:rsidRDefault="00000000" w:rsidRPr="00000000" w14:paraId="00000017">
            <w:pPr>
              <w:rPr/>
            </w:pPr>
            <w:r w:rsidDel="00000000" w:rsidR="00000000" w:rsidRPr="00000000">
              <w:rPr>
                <w:rFonts w:ascii="Times New Roman" w:cs="Times New Roman" w:eastAsia="Times New Roman" w:hAnsi="Times New Roman"/>
                <w:b w:val="1"/>
                <w:bCs w:val="1"/>
                <w:rtl w:val="0"/>
              </w:rPr>
              <w:t xml:space="preserve">There have been no changes to funding.</w:t>
            </w:r>
            <w:r w:rsidDel="00000000" w:rsidR="00000000" w:rsidRPr="00000000">
              <w:rPr>
                <w:rFonts w:ascii="Times New Roman" w:cs="Times New Roman" w:eastAsia="Times New Roman" w:hAnsi="Times New Roman"/>
                <w:rtl w:val="0"/>
              </w:rPr>
              <w:t xml:space="preserve"> The General Assembly did establish a conservatorship management taskforce (SB 233/HB634) but did not provide any relief or additional support to families or conservators.</w:t>
            </w:r>
            <w:r w:rsidDel="00000000" w:rsidR="00000000" w:rsidRPr="00000000">
              <w:rPr>
                <w:rFonts w:ascii="Times New Roman" w:cs="Times New Roman" w:eastAsia="Times New Roman" w:hAnsi="Times New Roman"/>
                <w:color w:val="ee0000"/>
                <w:rtl w:val="0"/>
              </w:rPr>
              <w:t xml:space="preserve"> </w:t>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tc>
      </w:tr>
      <w:tr>
        <w:trPr>
          <w:cantSplit w:val="0"/>
          <w:trHeight w:val="1601" w:hRule="atLeast"/>
          <w:tblHeader w:val="0"/>
        </w:trPr>
        <w:tc>
          <w:tcPr>
            <w:vMerge w:val="continue"/>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Support:</w:t>
            </w:r>
            <w:r w:rsidDel="00000000" w:rsidR="00000000" w:rsidRPr="00000000">
              <w:rPr>
                <w:rFonts w:ascii="Times New Roman" w:cs="Times New Roman" w:eastAsia="Times New Roman" w:hAnsi="Times New Roman"/>
                <w:rtl w:val="0"/>
              </w:rPr>
              <w:t xml:space="preserve"> Repeal state preemption banning local paid family leave policies.</w:t>
            </w:r>
          </w:p>
        </w:tc>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There has been no action on repeal of the ban.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 small step forward for family leave policies, the General Assembly did expand paid family leave for state employees caring for family members with health conditions (HB0915/SB0322)   This will provide tangible benefit to some workers – but falls short of what is needed.</w:t>
            </w:r>
          </w:p>
        </w:tc>
      </w:tr>
      <w:tr>
        <w:trPr>
          <w:cantSplit w:val="0"/>
          <w:trHeight w:val="1073.90625" w:hRule="atLeast"/>
          <w:tblHeader w:val="0"/>
        </w:trPr>
        <w:tc>
          <w:tcPr>
            <w:vMerge w:val="restart"/>
            <w:vAlign w:val="center"/>
          </w:tcPr>
          <w:p w:rsidR="00000000" w:rsidDel="00000000" w:rsidP="00000000" w:rsidRDefault="00000000" w:rsidRPr="00000000" w14:paraId="0000001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Aging</w:t>
            </w:r>
          </w:p>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C+</w:t>
            </w:r>
          </w:p>
        </w:tc>
        <w:tc>
          <w:tcPr>
            <w:gridSpan w:val="2"/>
          </w:tcPr>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Protect: </w:t>
            </w:r>
            <w:r w:rsidDel="00000000" w:rsidR="00000000" w:rsidRPr="00000000">
              <w:rPr>
                <w:rFonts w:ascii="Times New Roman" w:cs="Times New Roman" w:eastAsia="Times New Roman" w:hAnsi="Times New Roman"/>
                <w:rtl w:val="0"/>
              </w:rPr>
              <w:t xml:space="preserve">Expand spousal impoverishment protections beyond the federal minimum standards.</w:t>
            </w:r>
          </w:p>
        </w:tc>
        <w:tc>
          <w:tcPr/>
          <w:p w:rsidR="00000000" w:rsidDel="00000000" w:rsidP="00000000" w:rsidRDefault="00000000" w:rsidRPr="00000000" w14:paraId="0000002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 action</w:t>
            </w:r>
          </w:p>
        </w:tc>
      </w:tr>
      <w:tr>
        <w:trPr>
          <w:cantSplit w:val="0"/>
          <w:trHeight w:val="286" w:hRule="atLeast"/>
          <w:tblHeader w:val="0"/>
        </w:trPr>
        <w:tc>
          <w:tcPr>
            <w:vMerge w:val="continue"/>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gridSpan w:val="2"/>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 wrong doors: </w:t>
            </w:r>
            <w:r w:rsidDel="00000000" w:rsidR="00000000" w:rsidRPr="00000000">
              <w:rPr>
                <w:rFonts w:ascii="Times New Roman" w:cs="Times New Roman" w:eastAsia="Times New Roman" w:hAnsi="Times New Roman"/>
                <w:rtl w:val="0"/>
              </w:rPr>
              <w:t xml:space="preserve">Enact “no wrong door” policy to increase knowledge of and access to long-term supports and services, financial support, and</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living options.</w:t>
            </w:r>
          </w:p>
        </w:tc>
        <w:tc>
          <w:tcPr/>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new Department of Disability and Aging</w:t>
            </w:r>
            <w:r w:rsidDel="00000000" w:rsidR="00000000" w:rsidRPr="00000000">
              <w:rPr>
                <w:rFonts w:ascii="Times New Roman" w:cs="Times New Roman" w:eastAsia="Times New Roman" w:hAnsi="Times New Roman"/>
                <w:color w:val="ee0000"/>
                <w:rtl w:val="0"/>
              </w:rPr>
              <w:t xml:space="preserve"> </w:t>
            </w:r>
            <w:r w:rsidDel="00000000" w:rsidR="00000000" w:rsidRPr="00000000">
              <w:rPr>
                <w:rFonts w:ascii="Times New Roman" w:cs="Times New Roman" w:eastAsia="Times New Roman" w:hAnsi="Times New Roman"/>
                <w:rtl w:val="0"/>
              </w:rPr>
              <w:t xml:space="preserve">has helped to consolidate or integrate some programs, however more needs to done.</w:t>
            </w:r>
          </w:p>
        </w:tc>
      </w:tr>
      <w:tr>
        <w:trPr>
          <w:cantSplit w:val="0"/>
          <w:trHeight w:val="286" w:hRule="atLeast"/>
          <w:tblHeader w:val="0"/>
        </w:trPr>
        <w:tc>
          <w:tcPr>
            <w:vMerge w:val="continue"/>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Waiting for help: </w:t>
            </w:r>
            <w:r w:rsidDel="00000000" w:rsidR="00000000" w:rsidRPr="00000000">
              <w:rPr>
                <w:rFonts w:ascii="Times New Roman" w:cs="Times New Roman" w:eastAsia="Times New Roman" w:hAnsi="Times New Roman"/>
                <w:rtl w:val="0"/>
              </w:rPr>
              <w:t xml:space="preserve">Provide funds to draw down the OPTIONS and CHOICES Group 3 waitlists and</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improve provider network adequacy to ensure receipt of services.</w:t>
            </w:r>
          </w:p>
        </w:tc>
        <w:tc>
          <w:tcPr/>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t xml:space="preserve"> </w:t>
            </w:r>
            <w:r w:rsidDel="00000000" w:rsidR="00000000" w:rsidRPr="00000000">
              <w:rPr>
                <w:rFonts w:ascii="Times New Roman" w:cs="Times New Roman" w:eastAsia="Times New Roman" w:hAnsi="Times New Roman"/>
                <w:b w:val="1"/>
                <w:bCs w:val="1"/>
                <w:rtl w:val="0"/>
              </w:rPr>
              <w:t xml:space="preserve">Investments made. The FY26 budget includes</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$11 million to reduce the OPTIONS and nutrition waiting lists and $20 million to reduce the CHOICES 3 waitlist.</w:t>
            </w:r>
            <w:r w:rsidDel="00000000" w:rsidR="00000000" w:rsidRPr="00000000">
              <w:rPr>
                <w:rtl w:val="0"/>
              </w:rPr>
              <w:t xml:space="preserve"> </w:t>
            </w:r>
            <w:r w:rsidDel="00000000" w:rsidR="00000000" w:rsidRPr="00000000">
              <w:rPr>
                <w:rtl w:val="0"/>
              </w:rPr>
            </w:r>
          </w:p>
        </w:tc>
      </w:tr>
      <w:tr>
        <w:trPr>
          <w:cantSplit w:val="0"/>
          <w:trHeight w:val="286" w:hRule="atLeast"/>
          <w:tblHeader w:val="0"/>
        </w:trPr>
        <w:tc>
          <w:tcPr>
            <w:vMerge w:val="restart"/>
            <w:vAlign w:val="center"/>
          </w:tcPr>
          <w:p w:rsidR="00000000" w:rsidDel="00000000" w:rsidP="00000000" w:rsidRDefault="00000000" w:rsidRPr="00000000" w14:paraId="0000002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r>
          </w:p>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D</w:t>
            </w:r>
          </w:p>
        </w:tc>
        <w:tc>
          <w:tcPr>
            <w:gridSpan w:val="2"/>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Follow the law: </w:t>
            </w:r>
            <w:r w:rsidDel="00000000" w:rsidR="00000000" w:rsidRPr="00000000">
              <w:rPr>
                <w:rFonts w:ascii="Times New Roman" w:cs="Times New Roman" w:eastAsia="Times New Roman" w:hAnsi="Times New Roman"/>
                <w:rtl w:val="0"/>
              </w:rPr>
              <w:t xml:space="preserve">Require administrators to formally document ALL removals of students from school for behavior resulting from a</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disability and enforce IDEA protections.</w:t>
            </w:r>
          </w:p>
        </w:tc>
        <w:tc>
          <w:tcPr/>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Office of Research and Education Accountability produced a report on informal removal.  It recommends that districts and schools should properly document all removals of student disabilities and all disciplinary actions for such students. </w:t>
            </w:r>
            <w:r w:rsidDel="00000000" w:rsidR="00000000" w:rsidRPr="00000000">
              <w:rPr>
                <w:rFonts w:ascii="Times New Roman" w:cs="Times New Roman" w:eastAsia="Times New Roman" w:hAnsi="Times New Roman"/>
                <w:b w:val="1"/>
                <w:bCs w:val="1"/>
                <w:rtl w:val="0"/>
              </w:rPr>
              <w:t xml:space="preserve">Otherwise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no action has been taken.</w:t>
            </w:r>
            <w:r w:rsidDel="00000000" w:rsidR="00000000" w:rsidRPr="00000000">
              <w:rPr>
                <w:rFonts w:ascii="Times New Roman" w:cs="Times New Roman" w:eastAsia="Times New Roman" w:hAnsi="Times New Roman"/>
                <w:rtl w:val="0"/>
              </w:rPr>
              <w:t xml:space="preserve">   </w:t>
            </w:r>
          </w:p>
        </w:tc>
      </w:tr>
      <w:tr>
        <w:trPr>
          <w:cantSplit w:val="0"/>
          <w:trHeight w:val="306" w:hRule="atLeast"/>
          <w:tblHeader w:val="0"/>
        </w:trPr>
        <w:tc>
          <w:tcPr>
            <w:vMerge w:val="continue"/>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Prepare teachers: </w:t>
            </w:r>
            <w:r w:rsidDel="00000000" w:rsidR="00000000" w:rsidRPr="00000000">
              <w:rPr>
                <w:rFonts w:ascii="Times New Roman" w:cs="Times New Roman" w:eastAsia="Times New Roman" w:hAnsi="Times New Roman"/>
                <w:rtl w:val="0"/>
              </w:rPr>
              <w:t xml:space="preserve">Create</w:t>
            </w:r>
          </w:p>
          <w:p w:rsidR="00000000" w:rsidDel="00000000" w:rsidP="00000000" w:rsidRDefault="00000000" w:rsidRPr="00000000" w14:paraId="0000003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an Academic and Behavioral Specialist (ABS) licensure category for prospective teachers </w:t>
            </w:r>
            <w:r w:rsidDel="00000000" w:rsidR="00000000" w:rsidRPr="00000000">
              <w:rPr>
                <w:rFonts w:ascii="Times New Roman" w:cs="Times New Roman" w:eastAsia="Times New Roman" w:hAnsi="Times New Roman"/>
                <w:rtl w:val="0"/>
              </w:rPr>
              <w:t xml:space="preserve">who plan to work with students with behavior needs</w:t>
            </w: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039">
            <w:pPr>
              <w:rPr>
                <w:rFonts w:ascii="Times New Roman" w:cs="Times New Roman" w:eastAsia="Times New Roman" w:hAnsi="Times New Roman"/>
                <w:color w:val="ee0000"/>
              </w:rPr>
            </w:pPr>
            <w:r w:rsidDel="00000000" w:rsidR="00000000" w:rsidRPr="00000000">
              <w:rPr>
                <w:rFonts w:ascii="Times New Roman" w:cs="Times New Roman" w:eastAsia="Times New Roman" w:hAnsi="Times New Roman"/>
                <w:rtl w:val="0"/>
              </w:rPr>
              <w:t xml:space="preserve">The Department of Education has not acted. The Department of Disability and Aging has partnered with Trevecca Nazarene University to establish a Behavior Specialist Certificate program for teachers. </w:t>
            </w:r>
            <w:r w:rsidDel="00000000" w:rsidR="00000000" w:rsidRPr="00000000">
              <w:rPr>
                <w:rtl w:val="0"/>
              </w:rPr>
            </w:r>
          </w:p>
        </w:tc>
      </w:tr>
      <w:tr>
        <w:trPr>
          <w:cantSplit w:val="0"/>
          <w:trHeight w:val="306" w:hRule="atLeast"/>
          <w:tblHeader w:val="0"/>
        </w:trPr>
        <w:tc>
          <w:tcPr>
            <w:vMerge w:val="continue"/>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ee0000"/>
              </w:rPr>
            </w:pPr>
            <w:r w:rsidDel="00000000" w:rsidR="00000000" w:rsidRPr="00000000">
              <w:rPr>
                <w:rtl w:val="0"/>
              </w:rPr>
            </w:r>
          </w:p>
        </w:tc>
        <w:tc>
          <w:tcPr>
            <w:gridSpan w:val="2"/>
          </w:tcPr>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Compliance:</w:t>
            </w:r>
            <w:r w:rsidDel="00000000" w:rsidR="00000000" w:rsidRPr="00000000">
              <w:rPr>
                <w:b w:val="1"/>
                <w:bCs w:val="1"/>
                <w:rtl w:val="0"/>
              </w:rPr>
              <w:t xml:space="preserve"> </w:t>
            </w:r>
            <w:r w:rsidDel="00000000" w:rsidR="00000000" w:rsidRPr="00000000">
              <w:rPr>
                <w:rFonts w:ascii="Times New Roman" w:cs="Times New Roman" w:eastAsia="Times New Roman" w:hAnsi="Times New Roman"/>
                <w:rtl w:val="0"/>
              </w:rPr>
              <w:t xml:space="preserve">Reconstitute</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state’s special education compliance division within the</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Education to focus on special education implementation.</w:t>
            </w:r>
          </w:p>
        </w:tc>
        <w:tc>
          <w:tcPr/>
          <w:p w:rsidR="00000000" w:rsidDel="00000000" w:rsidP="00000000" w:rsidRDefault="00000000" w:rsidRPr="00000000" w14:paraId="0000003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 Action.</w:t>
            </w:r>
          </w:p>
        </w:tc>
      </w:tr>
      <w:tr>
        <w:trPr>
          <w:cantSplit w:val="0"/>
          <w:trHeight w:val="286" w:hRule="atLeast"/>
          <w:tblHeader w:val="0"/>
        </w:trPr>
        <w:tc>
          <w:tcPr>
            <w:vMerge w:val="restart"/>
            <w:vAlign w:val="center"/>
          </w:tcPr>
          <w:p w:rsidR="00000000" w:rsidDel="00000000" w:rsidP="00000000" w:rsidRDefault="00000000" w:rsidRPr="00000000" w14:paraId="0000004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Mental Health </w:t>
            </w:r>
          </w:p>
          <w:p w:rsidR="00000000" w:rsidDel="00000000" w:rsidP="00000000" w:rsidRDefault="00000000" w:rsidRPr="00000000" w14:paraId="0000004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D-</w:t>
            </w:r>
          </w:p>
        </w:tc>
        <w:tc>
          <w:tcPr>
            <w:gridSpan w:val="2"/>
          </w:tcPr>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Prevention: </w:t>
            </w:r>
            <w:r w:rsidDel="00000000" w:rsidR="00000000" w:rsidRPr="00000000">
              <w:rPr>
                <w:rFonts w:ascii="Times New Roman" w:cs="Times New Roman" w:eastAsia="Times New Roman" w:hAnsi="Times New Roman"/>
                <w:rtl w:val="0"/>
              </w:rPr>
              <w:t xml:space="preserve">Increase funding for the TN START crisis intervention program to expand access statewide, recruit more providers, and develop</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crisis respite homes.</w:t>
            </w:r>
          </w:p>
        </w:tc>
        <w:tc>
          <w:tcPr/>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FY26 budget includes $1.5 million to expand supports for individuals with IDD and co-occurring behavioral health needs.</w:t>
              <w:br w:type="textWrapping"/>
            </w:r>
          </w:p>
        </w:tc>
      </w:tr>
      <w:tr>
        <w:trPr>
          <w:cantSplit w:val="0"/>
          <w:trHeight w:val="286" w:hRule="atLeast"/>
          <w:tblHeader w:val="0"/>
        </w:trPr>
        <w:tc>
          <w:tcPr>
            <w:vMerge w:val="continue"/>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48">
            <w:pPr>
              <w:ind w:left="0" w:firstLine="0"/>
              <w:rPr>
                <w:rFonts w:ascii="Times New Roman" w:cs="Times New Roman" w:eastAsia="Times New Roman" w:hAnsi="Times New Roman"/>
                <w:b w:val="1"/>
                <w:bCs w:val="1"/>
                <w:color w:val="ee0000"/>
              </w:rPr>
            </w:pPr>
            <w:r w:rsidDel="00000000" w:rsidR="00000000" w:rsidRPr="00000000">
              <w:rPr>
                <w:rFonts w:ascii="Times New Roman" w:cs="Times New Roman" w:eastAsia="Times New Roman" w:hAnsi="Times New Roman"/>
                <w:b w:val="1"/>
                <w:bCs w:val="1"/>
                <w:rtl w:val="0"/>
              </w:rPr>
              <w:t xml:space="preserve">Communicate: </w:t>
            </w:r>
            <w:r w:rsidDel="00000000" w:rsidR="00000000" w:rsidRPr="00000000">
              <w:rPr>
                <w:rFonts w:ascii="Times New Roman" w:cs="Times New Roman" w:eastAsia="Times New Roman" w:hAnsi="Times New Roman"/>
                <w:rtl w:val="0"/>
              </w:rPr>
              <w:t xml:space="preserve">Require the state’s psychiatric facilities to update their occupancy status daily in a statewide bed registry to ensure that Tennesseans aren’t retained in inappropriate settings during a mental health crisis.</w:t>
            </w:r>
            <w:r w:rsidDel="00000000" w:rsidR="00000000" w:rsidRPr="00000000">
              <w:rPr>
                <w:rtl w:val="0"/>
              </w:rPr>
            </w:r>
          </w:p>
        </w:tc>
        <w:tc>
          <w:tcPr/>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 action.</w:t>
            </w:r>
            <w:r w:rsidDel="00000000" w:rsidR="00000000" w:rsidRPr="00000000">
              <w:rPr>
                <w:rFonts w:ascii="Times New Roman" w:cs="Times New Roman" w:eastAsia="Times New Roman" w:hAnsi="Times New Roman"/>
                <w:rtl w:val="0"/>
              </w:rPr>
              <w:t xml:space="preserve"> The Governor’s FY26 budget recommended $5 million to increase bed capacity at the Middle Tennessee Regional Mental Health Institute. This may help address capacity but does not address the need for data to “right size”.</w:t>
            </w:r>
          </w:p>
        </w:tc>
      </w:tr>
      <w:tr>
        <w:trPr>
          <w:cantSplit w:val="0"/>
          <w:trHeight w:val="286" w:hRule="atLeast"/>
          <w:tblHeader w:val="0"/>
        </w:trPr>
        <w:tc>
          <w:tcPr>
            <w:vMerge w:val="continue"/>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4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Remove barriers:</w:t>
            </w:r>
          </w:p>
          <w:p w:rsidR="00000000" w:rsidDel="00000000" w:rsidP="00000000" w:rsidRDefault="00000000" w:rsidRPr="00000000" w14:paraId="0000004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Streamline the process by which Tennessee school districts are able to bill TennCare for behavioral health services provided in the school setting.</w:t>
            </w:r>
            <w:r w:rsidDel="00000000" w:rsidR="00000000" w:rsidRPr="00000000">
              <w:rPr>
                <w:rtl w:val="0"/>
              </w:rPr>
            </w:r>
          </w:p>
        </w:tc>
        <w:tc>
          <w:tcPr/>
          <w:p w:rsidR="00000000" w:rsidDel="00000000" w:rsidP="00000000" w:rsidRDefault="00000000" w:rsidRPr="00000000" w14:paraId="0000004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The state invested $8 million in recurring funds to hire 114 additional school-based behavioral health liaisons, a meaningful investment. </w:t>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tc>
      </w:tr>
      <w:tr>
        <w:trPr>
          <w:cantSplit w:val="0"/>
          <w:trHeight w:val="286" w:hRule="atLeast"/>
          <w:tblHeader w:val="0"/>
        </w:trPr>
        <w:tc>
          <w:tcPr>
            <w:vMerge w:val="continue"/>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Prepare:</w:t>
            </w:r>
            <w:r w:rsidDel="00000000" w:rsidR="00000000" w:rsidRPr="00000000">
              <w:rPr>
                <w:rFonts w:ascii="Times New Roman" w:cs="Times New Roman" w:eastAsia="Times New Roman" w:hAnsi="Times New Roman"/>
                <w:rtl w:val="0"/>
              </w:rPr>
              <w:t xml:space="preserve"> Develop training for mental health providers on working with individuals with intellectual and developmental disabilities.</w:t>
            </w:r>
          </w:p>
        </w:tc>
        <w:tc>
          <w:tcPr/>
          <w:p w:rsidR="00000000" w:rsidDel="00000000" w:rsidP="00000000" w:rsidRDefault="00000000" w:rsidRPr="00000000" w14:paraId="0000005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 direct action taken.</w:t>
            </w:r>
          </w:p>
        </w:tc>
      </w:tr>
      <w:tr>
        <w:trPr>
          <w:cantSplit w:val="0"/>
          <w:trHeight w:val="1088" w:hRule="atLeast"/>
          <w:tblHeader w:val="0"/>
        </w:trPr>
        <w:tc>
          <w:tcPr>
            <w:vMerge w:val="restart"/>
            <w:vAlign w:val="center"/>
          </w:tcPr>
          <w:p w:rsidR="00000000" w:rsidDel="00000000" w:rsidP="00000000" w:rsidRDefault="00000000" w:rsidRPr="00000000" w14:paraId="0000005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Employment</w:t>
            </w:r>
          </w:p>
          <w:p w:rsidR="00000000" w:rsidDel="00000000" w:rsidP="00000000" w:rsidRDefault="00000000" w:rsidRPr="00000000" w14:paraId="0000005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C-</w:t>
            </w:r>
          </w:p>
        </w:tc>
        <w:tc>
          <w:tcPr>
            <w:gridSpan w:val="2"/>
          </w:tcPr>
          <w:p w:rsidR="00000000" w:rsidDel="00000000" w:rsidP="00000000" w:rsidRDefault="00000000" w:rsidRPr="00000000" w14:paraId="0000005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Increase Capacity: </w:t>
            </w:r>
            <w:r w:rsidDel="00000000" w:rsidR="00000000" w:rsidRPr="00000000">
              <w:rPr>
                <w:rFonts w:ascii="Times New Roman" w:cs="Times New Roman" w:eastAsia="Times New Roman" w:hAnsi="Times New Roman"/>
                <w:rtl w:val="0"/>
              </w:rPr>
              <w:t xml:space="preserve">Dedicate recurring state supplemental funds for Vocational Rehabilitation to increase access to job coaching, career services, and job placement.</w:t>
            </w:r>
            <w:r w:rsidDel="00000000" w:rsidR="00000000" w:rsidRPr="00000000">
              <w:rPr>
                <w:rtl w:val="0"/>
              </w:rPr>
            </w:r>
          </w:p>
        </w:tc>
        <w:tc>
          <w:tcPr/>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FY26 budget for Vocational Rehabilitation has a 3.3-million-dollar </w:t>
            </w:r>
            <w:r w:rsidDel="00000000" w:rsidR="00000000" w:rsidRPr="00000000">
              <w:rPr>
                <w:rFonts w:ascii="Times New Roman" w:cs="Times New Roman" w:eastAsia="Times New Roman" w:hAnsi="Times New Roman"/>
                <w:b w:val="1"/>
                <w:bCs w:val="1"/>
                <w:rtl w:val="0"/>
              </w:rPr>
              <w:t xml:space="preserve">reduction.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tc>
      </w:tr>
      <w:tr>
        <w:trPr>
          <w:cantSplit w:val="0"/>
          <w:trHeight w:val="286" w:hRule="atLeast"/>
          <w:tblHeader w:val="0"/>
        </w:trPr>
        <w:tc>
          <w:tcPr>
            <w:vMerge w:val="continue"/>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Prepare Workers: </w:t>
            </w:r>
            <w:r w:rsidDel="00000000" w:rsidR="00000000" w:rsidRPr="00000000">
              <w:rPr>
                <w:rFonts w:ascii="Times New Roman" w:cs="Times New Roman" w:eastAsia="Times New Roman" w:hAnsi="Times New Roman"/>
                <w:rtl w:val="0"/>
              </w:rPr>
              <w:t xml:space="preserve">Fund the reopening of a Training Center for the Blind to ensure that Tennesseans with vision related disabilities have</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 to their communities and gainful employment.</w:t>
            </w:r>
          </w:p>
        </w:tc>
        <w:tc>
          <w:tcPr/>
          <w:p w:rsidR="00000000" w:rsidDel="00000000" w:rsidP="00000000" w:rsidRDefault="00000000" w:rsidRPr="00000000" w14:paraId="0000006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 action</w:t>
            </w:r>
          </w:p>
        </w:tc>
      </w:tr>
      <w:tr>
        <w:trPr>
          <w:cantSplit w:val="0"/>
          <w:trHeight w:val="286" w:hRule="atLeast"/>
          <w:tblHeader w:val="0"/>
        </w:trPr>
        <w:tc>
          <w:tcPr>
            <w:vMerge w:val="continue"/>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gridSpan w:val="2"/>
          </w:tcPr>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Support Workers:</w:t>
            </w:r>
            <w:r w:rsidDel="00000000" w:rsidR="00000000" w:rsidRPr="00000000">
              <w:rPr>
                <w:rFonts w:ascii="Times New Roman" w:cs="Times New Roman" w:eastAsia="Times New Roman" w:hAnsi="Times New Roman"/>
                <w:rtl w:val="0"/>
              </w:rPr>
              <w:t xml:space="preserve"> End the policy of automatic fading of job coaching for workers with disabilities participating in supported employment through the state’s Medicaid waiver programs.</w:t>
            </w:r>
          </w:p>
        </w:tc>
        <w:tc>
          <w:tcPr/>
          <w:p w:rsidR="00000000" w:rsidDel="00000000" w:rsidP="00000000" w:rsidRDefault="00000000" w:rsidRPr="00000000" w14:paraId="0000006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 action</w:t>
            </w:r>
          </w:p>
        </w:tc>
      </w:tr>
      <w:tr>
        <w:trPr>
          <w:cantSplit w:val="0"/>
          <w:trHeight w:val="286" w:hRule="atLeast"/>
          <w:tblHeader w:val="0"/>
        </w:trPr>
        <w:tc>
          <w:tcPr>
            <w:vMerge w:val="restart"/>
          </w:tcPr>
          <w:p w:rsidR="00000000" w:rsidDel="00000000" w:rsidP="00000000" w:rsidRDefault="00000000" w:rsidRPr="00000000" w14:paraId="0000006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Housing</w:t>
            </w:r>
          </w:p>
          <w:p w:rsidR="00000000" w:rsidDel="00000000" w:rsidP="00000000" w:rsidRDefault="00000000" w:rsidRPr="00000000" w14:paraId="000000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E">
            <w:pPr>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F</w:t>
            </w:r>
          </w:p>
        </w:tc>
        <w:tc>
          <w:tcPr>
            <w:gridSpan w:val="2"/>
          </w:tcPr>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Protect:</w:t>
            </w:r>
            <w:r w:rsidDel="00000000" w:rsidR="00000000" w:rsidRPr="00000000">
              <w:rPr>
                <w:rFonts w:ascii="Times New Roman" w:cs="Times New Roman" w:eastAsia="Times New Roman" w:hAnsi="Times New Roman"/>
                <w:rtl w:val="0"/>
              </w:rPr>
              <w:t xml:space="preserve"> Prohibit further exemptions to the state’s anti-institutionalization laws for new segregated and congregate  residential facilities.</w:t>
            </w:r>
          </w:p>
        </w:tc>
        <w:tc>
          <w:tcPr/>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Moving in the wrong direction, the General Assembly expanded its exemption of rules that prohibit new segregated residential programs in the state.</w:t>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tc>
      </w:tr>
      <w:tr>
        <w:trPr>
          <w:cantSplit w:val="0"/>
          <w:trHeight w:val="286" w:hRule="atLeast"/>
          <w:tblHeader w:val="0"/>
        </w:trPr>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Support:</w:t>
            </w:r>
            <w:r w:rsidDel="00000000" w:rsidR="00000000" w:rsidRPr="00000000">
              <w:rPr>
                <w:rFonts w:ascii="Times New Roman" w:cs="Times New Roman" w:eastAsia="Times New Roman" w:hAnsi="Times New Roman"/>
                <w:rtl w:val="0"/>
              </w:rPr>
              <w:t xml:space="preserve"> Increase</w:t>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reimbursement rates for</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residential Community</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Living Supports providers.</w:t>
            </w:r>
          </w:p>
        </w:tc>
        <w:tc>
          <w:tcPr/>
          <w:p w:rsidR="00000000" w:rsidDel="00000000" w:rsidP="00000000" w:rsidRDefault="00000000" w:rsidRPr="00000000" w14:paraId="0000007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Rates have increased an average of 3% over the last two fiscal years. This does not keep up with the costs of providing services.  </w:t>
            </w:r>
            <w:r w:rsidDel="00000000" w:rsidR="00000000" w:rsidRPr="00000000">
              <w:rPr>
                <w:rtl w:val="0"/>
              </w:rPr>
            </w:r>
          </w:p>
        </w:tc>
      </w:tr>
      <w:tr>
        <w:trPr>
          <w:cantSplit w:val="0"/>
          <w:trHeight w:val="286" w:hRule="atLeast"/>
          <w:tblHeader w:val="0"/>
        </w:trPr>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gridSpan w:val="2"/>
          </w:tcPr>
          <w:p w:rsidR="00000000" w:rsidDel="00000000" w:rsidP="00000000" w:rsidRDefault="00000000" w:rsidRPr="00000000" w14:paraId="0000007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Invest: </w:t>
            </w:r>
            <w:r w:rsidDel="00000000" w:rsidR="00000000" w:rsidRPr="00000000">
              <w:rPr>
                <w:rFonts w:ascii="Times New Roman" w:cs="Times New Roman" w:eastAsia="Times New Roman" w:hAnsi="Times New Roman"/>
                <w:rtl w:val="0"/>
              </w:rPr>
              <w:t xml:space="preserve">Establish an Accessible Housing Trust Fund to acquire, rehabilitate, and modify homes for Tennesseans with disabilities.</w:t>
            </w:r>
            <w:r w:rsidDel="00000000" w:rsidR="00000000" w:rsidRPr="00000000">
              <w:rPr>
                <w:rtl w:val="0"/>
              </w:rPr>
            </w:r>
          </w:p>
        </w:tc>
        <w:tc>
          <w:tcPr/>
          <w:p w:rsidR="00000000" w:rsidDel="00000000" w:rsidP="00000000" w:rsidRDefault="00000000" w:rsidRPr="00000000" w14:paraId="0000007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 action </w:t>
            </w:r>
          </w:p>
        </w:tc>
      </w:tr>
      <w:tr>
        <w:trPr>
          <w:cantSplit w:val="0"/>
          <w:trHeight w:val="286" w:hRule="atLeast"/>
          <w:tblHeader w:val="0"/>
        </w:trPr>
        <w:tc>
          <w:tcPr>
            <w:vMerge w:val="restart"/>
          </w:tcPr>
          <w:p w:rsidR="00000000" w:rsidDel="00000000" w:rsidP="00000000" w:rsidRDefault="00000000" w:rsidRPr="00000000" w14:paraId="0000007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 </w:t>
            </w:r>
          </w:p>
          <w:p w:rsidR="00000000" w:rsidDel="00000000" w:rsidP="00000000" w:rsidRDefault="00000000" w:rsidRPr="00000000" w14:paraId="0000008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C-</w:t>
            </w:r>
          </w:p>
        </w:tc>
        <w:tc>
          <w:tcPr>
            <w:gridSpan w:val="2"/>
          </w:tcPr>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Public-Private:</w:t>
            </w:r>
            <w:r w:rsidDel="00000000" w:rsidR="00000000" w:rsidRPr="00000000">
              <w:rPr>
                <w:rFonts w:ascii="Times New Roman" w:cs="Times New Roman" w:eastAsia="Times New Roman" w:hAnsi="Times New Roman"/>
                <w:rtl w:val="0"/>
              </w:rPr>
              <w:t xml:space="preserve"> Require ride-share companies to maintain a certain percentage of vehicles as accessible to folding and non-folding wheelchairs.</w:t>
            </w:r>
          </w:p>
        </w:tc>
        <w:tc>
          <w:tcPr/>
          <w:p w:rsidR="00000000" w:rsidDel="00000000" w:rsidP="00000000" w:rsidRDefault="00000000" w:rsidRPr="00000000" w14:paraId="0000008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 action</w:t>
            </w:r>
          </w:p>
        </w:tc>
      </w:tr>
      <w:tr>
        <w:trPr>
          <w:cantSplit w:val="0"/>
          <w:trHeight w:val="286" w:hRule="atLeast"/>
          <w:tblHeader w:val="0"/>
        </w:trPr>
        <w:tc>
          <w:tcPr>
            <w:vMerge w:val="continue"/>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gridSpan w:val="2"/>
          </w:tcPr>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Protect: </w:t>
            </w:r>
            <w:r w:rsidDel="00000000" w:rsidR="00000000" w:rsidRPr="00000000">
              <w:rPr>
                <w:rFonts w:ascii="Times New Roman" w:cs="Times New Roman" w:eastAsia="Times New Roman" w:hAnsi="Times New Roman"/>
                <w:rtl w:val="0"/>
              </w:rPr>
              <w:t xml:space="preserve">Fine corporate ride-shares for each instance of driver refusal to permit a service animal on a ride.</w:t>
            </w:r>
          </w:p>
        </w:tc>
        <w:tc>
          <w:tcPr/>
          <w:p w:rsidR="00000000" w:rsidDel="00000000" w:rsidP="00000000" w:rsidRDefault="00000000" w:rsidRPr="00000000" w14:paraId="0000008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 action</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tc>
      </w:tr>
      <w:tr>
        <w:trPr>
          <w:cantSplit w:val="0"/>
          <w:trHeight w:val="286" w:hRule="atLeast"/>
          <w:tblHeader w:val="0"/>
        </w:trPr>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Mobility: </w:t>
            </w:r>
            <w:r w:rsidDel="00000000" w:rsidR="00000000" w:rsidRPr="00000000">
              <w:rPr>
                <w:rFonts w:ascii="Times New Roman" w:cs="Times New Roman" w:eastAsia="Times New Roman" w:hAnsi="Times New Roman"/>
                <w:rtl w:val="0"/>
              </w:rPr>
              <w:t xml:space="preserve">Permit paratransit vehicles and disability plate, placard and decal holders to use</w:t>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state’s new “Choice Lanes” free of charge..</w:t>
            </w:r>
          </w:p>
        </w:tc>
        <w:tc>
          <w:tcPr/>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of late September 2025, Tennessee's Choice Lanes program is in the public input and procurement stages. No action has been taken on the proposal.</w:t>
            </w:r>
          </w:p>
        </w:tc>
      </w:tr>
      <w:tr>
        <w:trPr>
          <w:cantSplit w:val="0"/>
          <w:trHeight w:val="286" w:hRule="atLeast"/>
          <w:tblHeader w:val="0"/>
        </w:trPr>
        <w:tc>
          <w:tcPr>
            <w:vMerge w:val="restart"/>
          </w:tcPr>
          <w:p w:rsidR="00000000" w:rsidDel="00000000" w:rsidP="00000000" w:rsidRDefault="00000000" w:rsidRPr="00000000" w14:paraId="0000009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 to </w:t>
            </w:r>
          </w:p>
          <w:p w:rsidR="00000000" w:rsidDel="00000000" w:rsidP="00000000" w:rsidRDefault="00000000" w:rsidRPr="00000000" w14:paraId="0000009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w:t>
            </w:r>
          </w:p>
          <w:p w:rsidR="00000000" w:rsidDel="00000000" w:rsidP="00000000" w:rsidRDefault="00000000" w:rsidRPr="00000000" w14:paraId="0000009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F</w:t>
            </w:r>
          </w:p>
        </w:tc>
        <w:tc>
          <w:tcPr>
            <w:gridSpan w:val="2"/>
          </w:tcPr>
          <w:p w:rsidR="00000000" w:rsidDel="00000000" w:rsidP="00000000" w:rsidRDefault="00000000" w:rsidRPr="00000000" w14:paraId="0000009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Increase transparency:</w:t>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Modify the state’s provider network adequacy reporting standards to more accurately reflect the extent of waiver services enrollees actually receive, how long they wait for them and where and for whom our network gaps exist.</w:t>
            </w:r>
          </w:p>
        </w:tc>
        <w:tc>
          <w:tcPr/>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bill to require transparency (SB0706/HB0711) moved through committees but failed to reach the floor of the General Assembly.</w:t>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tl w:val="0"/>
              </w:rPr>
            </w:r>
          </w:p>
        </w:tc>
      </w:tr>
      <w:tr>
        <w:trPr>
          <w:cantSplit w:val="0"/>
          <w:trHeight w:val="286" w:hRule="atLeast"/>
          <w:tblHeader w:val="0"/>
        </w:trPr>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Improve Access: </w:t>
            </w:r>
            <w:r w:rsidDel="00000000" w:rsidR="00000000" w:rsidRPr="00000000">
              <w:rPr>
                <w:rFonts w:ascii="Times New Roman" w:cs="Times New Roman" w:eastAsia="Times New Roman" w:hAnsi="Times New Roman"/>
                <w:rtl w:val="0"/>
              </w:rPr>
              <w:t xml:space="preserve">Submit a</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waiver to expand TennCare eligibility to those earning up to 138% of the Federal Poverty Line (FPL).</w:t>
            </w:r>
          </w:p>
        </w:tc>
        <w:tc>
          <w:tcPr/>
          <w:p w:rsidR="00000000" w:rsidDel="00000000" w:rsidP="00000000" w:rsidRDefault="00000000" w:rsidRPr="00000000" w14:paraId="000000A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 action. </w:t>
            </w:r>
          </w:p>
          <w:p w:rsidR="00000000" w:rsidDel="00000000" w:rsidP="00000000" w:rsidRDefault="00000000" w:rsidRPr="00000000" w14:paraId="000000A9">
            <w:pPr>
              <w:rPr/>
            </w:pPr>
            <w:r w:rsidDel="00000000" w:rsidR="00000000" w:rsidRPr="00000000">
              <w:rPr>
                <w:rtl w:val="0"/>
              </w:rPr>
              <w:t xml:space="preserve"> </w:t>
            </w:r>
          </w:p>
        </w:tc>
      </w:tr>
      <w:tr>
        <w:trPr>
          <w:cantSplit w:val="0"/>
          <w:trHeight w:val="286" w:hRule="atLeast"/>
          <w:tblHeader w:val="0"/>
        </w:trPr>
        <w:tc>
          <w:tcPr>
            <w:vMerge w:val="continue"/>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Management:</w:t>
            </w:r>
            <w:r w:rsidDel="00000000" w:rsidR="00000000" w:rsidRPr="00000000">
              <w:rPr>
                <w:rFonts w:ascii="Times New Roman" w:cs="Times New Roman" w:eastAsia="Times New Roman" w:hAnsi="Times New Roman"/>
                <w:rtl w:val="0"/>
              </w:rPr>
              <w:t xml:space="preserve"> Reconvene the TennCare Oversight Committee within the General Assembly to</w:t>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monitor TennCare’s provider network, 3rd party vendors, and quality of service delivery.</w:t>
            </w:r>
            <w:r w:rsidDel="00000000" w:rsidR="00000000" w:rsidRPr="00000000">
              <w:rPr>
                <w:rtl w:val="0"/>
              </w:rPr>
            </w:r>
          </w:p>
        </w:tc>
        <w:tc>
          <w:tcPr/>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House of Representatives has established a TennCare subcommittee, but it does not have oversight responsibility.</w:t>
            </w:r>
          </w:p>
        </w:tc>
      </w:tr>
      <w:tr>
        <w:trPr>
          <w:cantSplit w:val="0"/>
          <w:trHeight w:val="286" w:hRule="atLeast"/>
          <w:tblHeader w:val="0"/>
        </w:trPr>
        <w:tc>
          <w:tcPr>
            <w:vMerge w:val="restart"/>
          </w:tcPr>
          <w:p w:rsidR="00000000" w:rsidDel="00000000" w:rsidP="00000000" w:rsidRDefault="00000000" w:rsidRPr="00000000" w14:paraId="000000A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Justice </w:t>
            </w:r>
          </w:p>
          <w:p w:rsidR="00000000" w:rsidDel="00000000" w:rsidP="00000000" w:rsidRDefault="00000000" w:rsidRPr="00000000" w14:paraId="000000B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C-</w:t>
            </w:r>
          </w:p>
        </w:tc>
        <w:tc>
          <w:tcPr>
            <w:gridSpan w:val="2"/>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Common Sense:</w:t>
            </w:r>
            <w:r w:rsidDel="00000000" w:rsidR="00000000" w:rsidRPr="00000000">
              <w:rPr>
                <w:rFonts w:ascii="Times New Roman" w:cs="Times New Roman" w:eastAsia="Times New Roman" w:hAnsi="Times New Roman"/>
                <w:rtl w:val="0"/>
              </w:rPr>
              <w:t xml:space="preserve"> Increase protections for students with disabilities from being charged with felonies resulting from “threats of mass violence.”</w:t>
            </w:r>
          </w:p>
        </w:tc>
        <w:tc>
          <w:tcPr/>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bill that passed the General Assembly (HB1314/SB1296) requires that a threat have” intent and credibility”, however it overall creates more confusion and potential risk to students. </w:t>
            </w:r>
          </w:p>
          <w:p w:rsidR="00000000" w:rsidDel="00000000" w:rsidP="00000000" w:rsidRDefault="00000000" w:rsidRPr="00000000" w14:paraId="000000B9">
            <w:pPr>
              <w:rPr/>
            </w:pPr>
            <w:r w:rsidDel="00000000" w:rsidR="00000000" w:rsidRPr="00000000">
              <w:rPr>
                <w:rtl w:val="0"/>
              </w:rPr>
            </w:r>
          </w:p>
        </w:tc>
      </w:tr>
      <w:tr>
        <w:trPr>
          <w:cantSplit w:val="0"/>
          <w:trHeight w:val="286" w:hRule="atLeast"/>
          <w:tblHeader w:val="0"/>
        </w:trPr>
        <w:tc>
          <w:tcPr>
            <w:vMerge w:val="continue"/>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Protect liberty:</w:t>
            </w:r>
            <w:r w:rsidDel="00000000" w:rsidR="00000000" w:rsidRPr="00000000">
              <w:rPr>
                <w:rFonts w:ascii="Times New Roman" w:cs="Times New Roman" w:eastAsia="Times New Roman" w:hAnsi="Times New Roman"/>
                <w:rtl w:val="0"/>
              </w:rPr>
              <w:t xml:space="preserve"> Limit the</w:t>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 of “Jillian’s Law” to only violent felonies.</w:t>
            </w:r>
          </w:p>
        </w:tc>
        <w:tc>
          <w:tcPr/>
          <w:p w:rsidR="00000000" w:rsidDel="00000000" w:rsidP="00000000" w:rsidRDefault="00000000" w:rsidRPr="00000000" w14:paraId="000000B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 action</w:t>
            </w:r>
          </w:p>
        </w:tc>
      </w:tr>
      <w:tr>
        <w:trPr>
          <w:cantSplit w:val="0"/>
          <w:trHeight w:val="286" w:hRule="atLeast"/>
          <w:tblHeader w:val="0"/>
        </w:trPr>
        <w:tc>
          <w:tcPr>
            <w:vMerge w:val="continue"/>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gridSpan w:val="2"/>
          </w:tcPr>
          <w:p w:rsidR="00000000" w:rsidDel="00000000" w:rsidP="00000000" w:rsidRDefault="00000000" w:rsidRPr="00000000" w14:paraId="000000C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Appropriate Placements:</w:t>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Prohibit administrative transfers of justice involved youth to the</w:t>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 criminal justice system.</w:t>
            </w:r>
          </w:p>
        </w:tc>
        <w:tc>
          <w:tcPr/>
          <w:p w:rsidR="00000000" w:rsidDel="00000000" w:rsidP="00000000" w:rsidRDefault="00000000" w:rsidRPr="00000000" w14:paraId="000000C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 action</w:t>
            </w:r>
          </w:p>
        </w:tc>
      </w:tr>
    </w:tbl>
    <w:p w:rsidR="00000000" w:rsidDel="00000000" w:rsidP="00000000" w:rsidRDefault="00000000" w:rsidRPr="00000000" w14:paraId="000000C5">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For 2025 the State has earned an incomplete.  </w:t>
      </w:r>
    </w:p>
    <w:p w:rsidR="00000000" w:rsidDel="00000000" w:rsidP="00000000" w:rsidRDefault="00000000" w:rsidRPr="00000000" w14:paraId="000000C6">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the positive work of the Governor and General Assembly in 2025 is important and helpful, it is also limited.</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Commitments to expand access to care in the form of additional funding in Long Term supports and services and mental health are tempered by actions that expand the use of segregated facilities.  The state failed to address the growing need for affordable, accessible, and supportive housing, and reduced capacity to support the employment of individuals with disabilities.  </w:t>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b w:val="1"/>
          <w:bCs w:val="1"/>
          <w:color w:val="4472c4"/>
          <w:sz w:val="28"/>
          <w:szCs w:val="28"/>
        </w:rPr>
      </w:pPr>
      <w:r w:rsidDel="00000000" w:rsidR="00000000" w:rsidRPr="00000000">
        <w:rPr>
          <w:rFonts w:ascii="Times New Roman" w:cs="Times New Roman" w:eastAsia="Times New Roman" w:hAnsi="Times New Roman"/>
          <w:b w:val="1"/>
          <w:bCs w:val="1"/>
          <w:sz w:val="28"/>
          <w:szCs w:val="28"/>
          <w:rtl w:val="0"/>
        </w:rPr>
        <w:t xml:space="preserve">Partial credit-</w:t>
      </w:r>
      <w:r w:rsidDel="00000000" w:rsidR="00000000" w:rsidRPr="00000000">
        <w:rPr>
          <w:rFonts w:ascii="Times New Roman" w:cs="Times New Roman" w:eastAsia="Times New Roman" w:hAnsi="Times New Roman"/>
          <w:b w:val="1"/>
          <w:bCs w:val="1"/>
          <w:color w:val="4472c4"/>
          <w:sz w:val="28"/>
          <w:szCs w:val="28"/>
          <w:rtl w:val="0"/>
        </w:rPr>
        <w:t xml:space="preserve"> </w:t>
      </w:r>
    </w:p>
    <w:p w:rsidR="00000000" w:rsidDel="00000000" w:rsidP="00000000" w:rsidRDefault="00000000" w:rsidRPr="00000000" w14:paraId="000000CA">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Family caregiver support</w:t>
      </w:r>
    </w:p>
    <w:p w:rsidR="00000000" w:rsidDel="00000000" w:rsidP="00000000" w:rsidRDefault="00000000" w:rsidRPr="00000000" w14:paraId="000000CC">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Caring for a loved one with a disability is a fundamentally different task from parenting or other common forms of caregiving. From navigating our state’s Medicaid system, to fighting for appointments for one of the few providers in their area, to the extra cost of living with a disability, caring for a loved one with a disability is hard. And it takes a toll. Caregivers of a loved one with a disability are more likely to develop mental and physical health needs, to forgo employment opportunities, and to become financially unstable.</w:t>
      </w:r>
    </w:p>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Tennessee needs a comprehensive, statewide paid family caregiving program and policy. At least 19 other states have such a formal program, helping keep family caregivers financially afloat while they care for their loved one. 46 states allow legally responsible relatives to become paid care workers. Passage of HB0712/SB1178, is a step in the right direction, however, proof will be in implementation and in practice.  The bill prohibits discrimination against family caregivers in the ability for provider agencies to hire a family caregiver as a direct support professional. This is one model of paid family caregiving, but one that relies on willing providers who have previously been discouraged from the practice by state funders. The bill also directed the state to develop policies and guidelines. While this is a move in the right direction, the policies and guidance so far are insubstantial.</w:t>
      </w:r>
    </w:p>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color w:val="ee0000"/>
        </w:rPr>
      </w:pPr>
      <w:r w:rsidDel="00000000" w:rsidR="00000000" w:rsidRPr="00000000">
        <w:rPr>
          <w:rFonts w:ascii="Times New Roman" w:cs="Times New Roman" w:eastAsia="Times New Roman" w:hAnsi="Times New Roman"/>
          <w:rtl w:val="0"/>
        </w:rPr>
        <w:t xml:space="preserve">Conservatorship is an option for loved ones to become a legal guardian of an adult with a disability when that disability inhibits the person from living independently and making choices associated with independence. It is an option to protect vulnerable Tennesseans with disabilities from being victimized. Currently, the state offers less than a quarter of the cost of establishing conservatorship for those served in most of the state’s </w:t>
      </w:r>
      <w:r w:rsidDel="00000000" w:rsidR="00000000" w:rsidRPr="00000000">
        <w:rPr>
          <w:rFonts w:ascii="Times New Roman" w:cs="Times New Roman" w:eastAsia="Times New Roman" w:hAnsi="Times New Roman"/>
          <w:rtl w:val="0"/>
        </w:rPr>
        <w:t xml:space="preserve">long term care programs. Conservatorships can cost upwards of $5,000 and can be a long and laborious trek through an unfamiliar legal system. The state should do more to financially support this option, as well as supported decision-making, where it is appropriate. Not only does it convey benefit to a person with a disability and their family, it transfers many administrative tasks from the state to the family. We hope that the new Conservatorship Management Taskforce established by the General Assembly in 2025 will recommend providing relief and additional support to families or conservators when it makes its report in December of 2025.</w:t>
      </w:r>
      <w:r w:rsidDel="00000000" w:rsidR="00000000" w:rsidRPr="00000000">
        <w:rPr>
          <w:rFonts w:ascii="Times New Roman" w:cs="Times New Roman" w:eastAsia="Times New Roman" w:hAnsi="Times New Roman"/>
          <w:color w:val="ee0000"/>
          <w:rtl w:val="0"/>
        </w:rPr>
        <w:t xml:space="preserve"> </w:t>
      </w:r>
    </w:p>
    <w:p w:rsidR="00000000" w:rsidDel="00000000" w:rsidP="00000000" w:rsidRDefault="00000000" w:rsidRPr="00000000" w14:paraId="000000D2">
      <w:pPr>
        <w:rPr>
          <w:rFonts w:ascii="Times New Roman" w:cs="Times New Roman" w:eastAsia="Times New Roman" w:hAnsi="Times New Roman"/>
          <w:color w:val="ee0000"/>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Aging</w:t>
      </w:r>
    </w:p>
    <w:p w:rsidR="00000000" w:rsidDel="00000000" w:rsidP="00000000" w:rsidRDefault="00000000" w:rsidRPr="00000000" w14:paraId="000000D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States across the country are feeling the crunch of a rapidly aging population. In Tennessee, it is </w:t>
      </w:r>
      <w:r w:rsidDel="00000000" w:rsidR="00000000" w:rsidRPr="00000000">
        <w:rPr>
          <w:rFonts w:ascii="Times New Roman" w:cs="Times New Roman" w:eastAsia="Times New Roman" w:hAnsi="Times New Roman"/>
          <w:rtl w:val="0"/>
        </w:rPr>
        <w:t xml:space="preserve">expected that our state’s aging population (aged 65+) will grow by over 300,000 people by 2040, encompassing a full 20% of the state’s residents. While there are many benefits to an aging population, it can also put a strain on the state’s systems if we do not do more to support aging Tennesseans now and do more to prepare for the future.</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best things the state did in 2025 was to increase funding to address the waiting lists for the OPTIONS program, nutrition services, and CHOICES group 3. These programs serve older adults and adults with physical disabilities who are at risk of needing full-time long-term supports and services. These important investments are tempered by the loss of federal funds as COVID investments and ARRA funds are depleted and eliminated. Federal funding for aging services has been flat. Rising costs reduce capacity at a time when there is increasing need for services and support. </w:t>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Education</w:t>
      </w:r>
    </w:p>
    <w:p w:rsidR="00000000" w:rsidDel="00000000" w:rsidP="00000000" w:rsidRDefault="00000000" w:rsidRPr="00000000" w14:paraId="000000DA">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2024 we proposed that the state develop an “Academic and Behavioral Specialist” (ABS) licensure category to better serve students with behavior needs. While most students with disabilities benefit greatly from their special education programs, students with behavior needs have been left behind. This is, in part, because our state’s teachers don’t know how to work with them, and they tell us exactly that. Over a quarter of our state’s new teachers say that their Educator Preparation Program (EPP) did not adequately prepare them to implement classroom behavior management techniques. 33% of all teachers say they lack instructional strategies to teach students with disabilities, 41% say they do not know how to support students’ behavior success (like implementing a behavior plan) and 48% say they don’t have the time to plan for student success. By creating a category for teachers specially trained to work with students with behavior needs, we can lighten the load on General Education teachers and administrators, and better support those students in finding academic and behavioral success.  DDA has adopted an approach that is a start.</w:t>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color w:val="ee0000"/>
          <w:sz w:val="28"/>
          <w:szCs w:val="28"/>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Other Positive Work</w:t>
      </w:r>
    </w:p>
    <w:p w:rsidR="00000000" w:rsidDel="00000000" w:rsidP="00000000" w:rsidRDefault="00000000" w:rsidRPr="00000000" w14:paraId="000000DF">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Beyond the 2025 homework, there were other actions, good and bad, that will ultimately impact the state’s score. The General Assembly made modifications to the Open Meetings Act that will provide more access to participation on state boards, commissions, and councils by people with disabilities. </w:t>
      </w:r>
      <w:r w:rsidDel="00000000" w:rsidR="00000000" w:rsidRPr="00000000">
        <w:rPr>
          <w:rFonts w:ascii="Times New Roman" w:cs="Times New Roman" w:eastAsia="Times New Roman" w:hAnsi="Times New Roman"/>
          <w:rtl w:val="0"/>
        </w:rPr>
        <w:t xml:space="preserve">(HB1330/SB1316)</w:t>
      </w:r>
      <w:r w:rsidDel="00000000" w:rsidR="00000000" w:rsidRPr="00000000">
        <w:rPr>
          <w:rFonts w:ascii="Times New Roman" w:cs="Times New Roman" w:eastAsia="Times New Roman" w:hAnsi="Times New Roman"/>
          <w:rtl w:val="0"/>
        </w:rPr>
        <w:t xml:space="preserve">. Some individuals need reasonable accommodations in order to participate, including remote participation. Civic engagement is an important role of citizenship and community engagement, It should be open to all.</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rtl w:val="0"/>
        </w:rPr>
        <w:t xml:space="preserve">The General Assembly also established a Reimbursement Rates Task Force.  This body will make recommendations on the adequacy of reimbursement rates paid to health care providers. This is a step in the right direction. Many individuals with disabilities require higher levels of health care services, including long term supports and services.  Adequate access to providers and services is impacted by many factors, but economics is a primary factor.</w:t>
      </w:r>
      <w:r w:rsidDel="00000000" w:rsidR="00000000" w:rsidRPr="00000000">
        <w:rPr>
          <w:rtl w:val="0"/>
        </w:rPr>
      </w:r>
    </w:p>
    <w:p w:rsidR="00000000" w:rsidDel="00000000" w:rsidP="00000000" w:rsidRDefault="00000000" w:rsidRPr="00000000" w14:paraId="000000E3">
      <w:pPr>
        <w:shd w:fill="ffffff" w:val="clear"/>
        <w:spacing w:after="280" w:before="280" w:lineRule="auto"/>
        <w:rPr>
          <w:rFonts w:ascii="Times New Roman" w:cs="Times New Roman" w:eastAsia="Times New Roman" w:hAnsi="Times New Roman"/>
          <w:b w:val="1"/>
          <w:bCs w:val="1"/>
          <w:color w:val="212529"/>
          <w:sz w:val="28"/>
          <w:szCs w:val="28"/>
        </w:rPr>
      </w:pPr>
      <w:r w:rsidDel="00000000" w:rsidR="00000000" w:rsidRPr="00000000">
        <w:rPr>
          <w:rFonts w:ascii="Times New Roman" w:cs="Times New Roman" w:eastAsia="Times New Roman" w:hAnsi="Times New Roman"/>
          <w:b w:val="1"/>
          <w:bCs w:val="1"/>
          <w:color w:val="212529"/>
          <w:sz w:val="28"/>
          <w:szCs w:val="28"/>
          <w:rtl w:val="0"/>
        </w:rPr>
        <w:t xml:space="preserve">Demerits </w:t>
      </w:r>
    </w:p>
    <w:p w:rsidR="00000000" w:rsidDel="00000000" w:rsidP="00000000" w:rsidRDefault="00000000" w:rsidRPr="00000000" w14:paraId="000000E4">
      <w:pPr>
        <w:shd w:fill="ffffff" w:val="clea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the other hand, the General Assembly eliminated the Human Rights Commission and significantly limited the pathway to civil rights violation redress.  HB0910/SB0860 dissolved the Tennessee Human Rights Commission (THRC), the state agency responsible for enforcing anti-discrimination laws and promoting equal opportunity in Tennessee. This transferred enforcement of the Tennessee Human Rights Act and the Tennessee Disability Act to a newly created Division of Civil Rights Enforcement within the Office of the Attorney General (AG) and Reporter. As a part of this action all current complaints were dismissed, requiring individuals who had their complaints dismissed to refile their complaints with the Division of Civil Rights Enforcement within 90 days of July 1, 2025. This administrative burden, and the elimination of the independence of the Commission threaten civil rights protection for individuals with disabilities. </w:t>
      </w:r>
    </w:p>
    <w:p w:rsidR="00000000" w:rsidDel="00000000" w:rsidP="00000000" w:rsidRDefault="00000000" w:rsidRPr="00000000" w14:paraId="000000E5">
      <w:pPr>
        <w:shd w:fill="ffffff" w:val="clea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 to Care was further eroded in 2025.  Individuals with disabilities on TennCare who require regular nursing services to remain at home in the community were dealt a blow this year. The state proposed a new rule that would change how it determines the “medical necessity” of in-home private duty nursing for people with disabilities. The change means that TennCare will now consider the cost of private duty nursing when determining the medical necessity of this care.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person with a disability is receiving private duty nursing in their home, and the cost of that care is higher than the cost of care in an institutional setting, the person with a disability will have two options, 1) reduce the amount of care they receive in the home, which in some cases would be 9 hours per day for people receiving 24/7 care, or 2) move to an institutional setting. This represents yet another move on the part of the state that pushes institutional care over care at home and in the community.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 a number of other administrative and policy actions, the Division of TennCare has made it much more difficult for Tennesseans with disabilities to get the coverage and care they need.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Federal and state law require that each person receiving TennCare show each year that they are still eligible for the coverage. The annual review process is called “renewal” or “redetermination” of eligibility. In March 2020, at the beginning of the COVID pandemic, the federal government declared a public health emergency and paused the renewal process until public health emergency ended. Over the last two years TennCare has undertaken redetermination/renewals for everyone on TennCare. We know from experience that most people who lose coverage get cut off because of mistakes or difficulty completing the complicated paperwork, not because they are actually ineligible. This is especially true for individuals with intellectual and developmental disabilities, as well as those disabled by mental health conditions.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2025 individuals served in TennCare long term supports and services waivers, including Department of Disability and Aging 1915c waivers, ECF CHOICES, and CHOICES have experienced the effects of TennCare’s shifting process and treatment of renewals. TennCare’s computer system has had glitches that create high barriers to completing the process and the system has mistakenly cut some people off. Paperwork routinely gets lost. Individuals who require assistance to complete a renewal face a complicated process when even minor human errors can cost individuals their life-supporting coverage.</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Against this backdrop, TennCare is making it even more difficult to meet the rigorous eligibility rules and the paperwork challenges.  The rules excuse a beneficiary’s failure to meet a deadline or take a required action if the person can demonstrate “good cause,” which is defined as “a reason based on circumstances outside the party’s control and despite the party’s reasonable efforts.” If the TennCare agency decides that the beneficiary did not have good cause as claimed, the beneficiary can make her case in a hearing before an impartial administrative judge.</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Unfortunately, TennCare has not complied with its own rules. It has applied a more restrictive definition of good cause, treating it as a rare and extraordinary occurrence. The agency also refuses to afford beneficiaries a fair hearing at which they can present evidence of good cause. Last year, a federal court declared TennCare’s failure to follow its own rules unlawful. This year, rather than comply with the rules, TennCare proposed to change the rule to drastically restrict it and formalize its practice of denying fair hearings on the issue. Under the new rule, health coverage will be subject to cancellation made by a TennCare employee or contractor with no opportunity for review by an impartial judge.</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challenges of 2025 and beyond. </w:t>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incomplete for the 2025 scorecard may not be a surprise. This has been an especially challenging year in Tennessee and across the nation. Uncertainty and upheaval at the federal level impacts both state government and the people it is meant to serve. Tennessee’s leaders, and especially our federal congressional delegation must be prepared to protect Tennesseans with disabilities and their families.</w:t>
      </w:r>
    </w:p>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Years of struggle and education led to policies that acknowledge and support the rightful place of people with disabilities in the mainstream.  Policies that protect the rights of people with disabilities to live lives of meaning and purpose, with independence, economic security, and access to community life are only as good as their implementation. </w:t>
      </w:r>
    </w:p>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of the federal protections and supports upon which Tennesseans with disability rely have been weakened or eliminated. Rights are meaningless without robust protection.  There is no path to justice for people with disabilities who have been discriminated against and harmed when civil rights enforcement is absent.  For example, the Department of Education’s offices of civil rights and special education have been functionally eliminated. This makes it even more important that the state focuses its attention on compliance with existing state and federal special education laws. </w:t>
      </w:r>
    </w:p>
    <w:p w:rsidR="00000000" w:rsidDel="00000000" w:rsidP="00000000" w:rsidRDefault="00000000" w:rsidRPr="00000000" w14:paraId="000000F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People with disabilities are canaries in the mine as diversity, equity, inclusion, and accessibility policies are dismantled. At the same time our federal government is cutting the services and benefits that are a safety net, new barriers to housing, employment, and education are being erected. Without help from the federal government, Tennessee must step in. </w:t>
      </w:r>
    </w:p>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Tennessee government leaders also need to step up to support public health measures that support the health and well-being of everyone in Tennessee, especially those at greatest risk. The federal public health infrastructure that has worked to address disability prevention, safety, health promotion, and other barriers is being dismantled.  A state-level, multifaceted approach is needed to eliminate health disparities and reduce the socioeconomic disadvantages and structural barriers to the health system faced by Tennesseans with disabilities. </w:t>
      </w:r>
    </w:p>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Tennessee’s work for 2025 is incomplete. While some progress has been made, other work has stalled, and there has been regression as well. With a changing federal landscape, Tennessee leadership is more important than ever. In 2026, we must all do better. </w:t>
      </w:r>
    </w:p>
    <w:sectPr>
      <w:footerReference r:id="rId7"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9B55F5"/>
    <w:pPr>
      <w:ind w:left="720"/>
      <w:contextualSpacing w:val="1"/>
    </w:pPr>
  </w:style>
  <w:style w:type="table" w:styleId="TableGrid">
    <w:name w:val="Table Grid"/>
    <w:basedOn w:val="TableNormal"/>
    <w:uiPriority w:val="39"/>
    <w:rsid w:val="009B55F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A967E1"/>
    <w:rPr>
      <w:sz w:val="16"/>
      <w:szCs w:val="16"/>
    </w:rPr>
  </w:style>
  <w:style w:type="paragraph" w:styleId="CommentText">
    <w:name w:val="annotation text"/>
    <w:basedOn w:val="Normal"/>
    <w:link w:val="CommentTextChar"/>
    <w:uiPriority w:val="99"/>
    <w:unhideWhenUsed w:val="1"/>
    <w:rsid w:val="00A967E1"/>
    <w:rPr>
      <w:sz w:val="20"/>
      <w:szCs w:val="20"/>
    </w:rPr>
  </w:style>
  <w:style w:type="character" w:styleId="CommentTextChar" w:customStyle="1">
    <w:name w:val="Comment Text Char"/>
    <w:basedOn w:val="DefaultParagraphFont"/>
    <w:link w:val="CommentText"/>
    <w:uiPriority w:val="99"/>
    <w:rsid w:val="00A967E1"/>
    <w:rPr>
      <w:sz w:val="20"/>
      <w:szCs w:val="20"/>
    </w:rPr>
  </w:style>
  <w:style w:type="paragraph" w:styleId="CommentSubject">
    <w:name w:val="annotation subject"/>
    <w:basedOn w:val="CommentText"/>
    <w:next w:val="CommentText"/>
    <w:link w:val="CommentSubjectChar"/>
    <w:uiPriority w:val="99"/>
    <w:semiHidden w:val="1"/>
    <w:unhideWhenUsed w:val="1"/>
    <w:rsid w:val="00A967E1"/>
    <w:rPr>
      <w:b w:val="1"/>
      <w:bCs w:val="1"/>
    </w:rPr>
  </w:style>
  <w:style w:type="character" w:styleId="CommentSubjectChar" w:customStyle="1">
    <w:name w:val="Comment Subject Char"/>
    <w:basedOn w:val="CommentTextChar"/>
    <w:link w:val="CommentSubject"/>
    <w:uiPriority w:val="99"/>
    <w:semiHidden w:val="1"/>
    <w:rsid w:val="00A967E1"/>
    <w:rPr>
      <w:b w:val="1"/>
      <w:bCs w:val="1"/>
      <w:sz w:val="20"/>
      <w:szCs w:val="20"/>
    </w:rPr>
  </w:style>
  <w:style w:type="paragraph" w:styleId="BalloonText">
    <w:name w:val="Balloon Text"/>
    <w:basedOn w:val="Normal"/>
    <w:link w:val="BalloonTextChar"/>
    <w:uiPriority w:val="99"/>
    <w:semiHidden w:val="1"/>
    <w:unhideWhenUsed w:val="1"/>
    <w:rsid w:val="00A967E1"/>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A967E1"/>
    <w:rPr>
      <w:rFonts w:ascii="Times New Roman" w:cs="Times New Roman" w:hAnsi="Times New Roman"/>
      <w:sz w:val="18"/>
      <w:szCs w:val="18"/>
    </w:rPr>
  </w:style>
  <w:style w:type="paragraph" w:styleId="FootnoteText">
    <w:name w:val="footnote text"/>
    <w:basedOn w:val="Normal"/>
    <w:link w:val="FootnoteTextChar"/>
    <w:uiPriority w:val="99"/>
    <w:semiHidden w:val="1"/>
    <w:unhideWhenUsed w:val="1"/>
    <w:rsid w:val="00C50392"/>
    <w:rPr>
      <w:sz w:val="20"/>
      <w:szCs w:val="20"/>
    </w:rPr>
  </w:style>
  <w:style w:type="character" w:styleId="FootnoteTextChar" w:customStyle="1">
    <w:name w:val="Footnote Text Char"/>
    <w:basedOn w:val="DefaultParagraphFont"/>
    <w:link w:val="FootnoteText"/>
    <w:uiPriority w:val="99"/>
    <w:semiHidden w:val="1"/>
    <w:rsid w:val="00C50392"/>
    <w:rPr>
      <w:sz w:val="20"/>
      <w:szCs w:val="20"/>
    </w:rPr>
  </w:style>
  <w:style w:type="character" w:styleId="FootnoteReference">
    <w:name w:val="footnote reference"/>
    <w:basedOn w:val="DefaultParagraphFont"/>
    <w:uiPriority w:val="99"/>
    <w:semiHidden w:val="1"/>
    <w:unhideWhenUsed w:val="1"/>
    <w:rsid w:val="00C50392"/>
    <w:rPr>
      <w:vertAlign w:val="superscript"/>
    </w:rPr>
  </w:style>
  <w:style w:type="paragraph" w:styleId="NormalWeb">
    <w:name w:val="Normal (Web)"/>
    <w:basedOn w:val="Normal"/>
    <w:uiPriority w:val="99"/>
    <w:semiHidden w:val="1"/>
    <w:unhideWhenUsed w:val="1"/>
    <w:rsid w:val="00842123"/>
    <w:rPr>
      <w:rFonts w:ascii="Times New Roman" w:cs="Times New Roman" w:hAnsi="Times New Roman"/>
    </w:rPr>
  </w:style>
  <w:style w:type="character" w:styleId="Heading2Char" w:customStyle="1">
    <w:name w:val="Heading 2 Char"/>
    <w:basedOn w:val="DefaultParagraphFont"/>
    <w:link w:val="Heading2"/>
    <w:uiPriority w:val="9"/>
    <w:semiHidden w:val="1"/>
    <w:rsid w:val="00DF196B"/>
    <w:rPr>
      <w:rFonts w:asciiTheme="majorHAnsi" w:cstheme="majorBidi" w:eastAsiaTheme="majorEastAsia" w:hAnsiTheme="majorHAnsi"/>
      <w:color w:val="2f5496" w:themeColor="accent1" w:themeShade="0000BF"/>
      <w:sz w:val="26"/>
      <w:szCs w:val="26"/>
    </w:rPr>
  </w:style>
  <w:style w:type="table" w:styleId="a"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mWkR6GMXSH/YoeFmG+32+tRqIw==">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2025-11-12T18:22:00Z</dcterms:created>
  <dc:creator>Microsoft Office User</dc:creator>
</cp:coreProperties>
</file>